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en grève. Bénéfice de la protection fonctionnelle (oui)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dispositions de l'article 11 de la loi n° 83-634 du 13 juillet 1983 ne font pas obstacle à ce qu'un agent public demande à bénéficier de la protection fonctionnelle pour des faits survenus à une date à laquelle il participait à un mouvement de cessation collective et concertée du travail (grève). Il appartient alors à cet agent d'établir que les faits dont il a été victime sont en lien avec l'exercice de ses fonctions, au sens de ces mêmes dispositions (CE, 22.05.2017, </w:t>
      </w:r>
    </w:p>
    <w:p>
      <w:pPr/>
      <w:r>
        <w:rPr>
          <w:i w:val="1"/>
          <w:iCs w:val="1"/>
        </w:rPr>
        <w:t xml:space="preserve">commune de Sète</w:t>
      </w:r>
    </w:p>
    <w:p>
      <w:pPr/>
      <w:r>
        <w:rPr/>
        <w:t xml:space="preserve">, n° 396453).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2026-04-01T03:09:19+02:00</dcterms:created>
  <dcterms:modified xsi:type="dcterms:W3CDTF">2026-04-01T03:09:19+02:00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