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 en grève. Bénéfice de la protection fonctionnelle (oui)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Les dispositions de l'article 11 de la loi n° 83-634 du 13 juillet 1983 ne font pas obstacle à ce qu'un agent public demande à bénéficier de la protection fonctionnelle pour des faits survenus à une date à laquelle il participait à un mouvement de cessation collective et concertée du travail (grève). Il appartient alors à cet agent d'établir que les faits dont il a été victime sont en lien avec l'exercice de ses fonctions, au sens de ces mêmes dispositions (CE, 22.05.2017, </w:t>
      </w:r>
    </w:p>
    <w:p>
      <w:pPr/>
      <w:r>
        <w:rPr>
          <w:i w:val="1"/>
          <w:iCs w:val="1"/>
        </w:rPr>
        <w:t xml:space="preserve">commune de Sète</w:t>
      </w:r>
    </w:p>
    <w:p>
      <w:pPr/>
      <w:r>
        <w:rPr/>
        <w:t xml:space="preserve">, n° 396453).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2026-08-16T18:02:07+02:00</dcterms:created>
  <dcterms:modified xsi:type="dcterms:W3CDTF">2026-08-16T18:02:07+02:00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