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Retrait de délégation à un adjoint. Candidature à une élection politique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Conformément aux articles </w:t>
      </w:r>
      <w:hyperlink r:id="rId7" w:history="1">
        <w:r>
          <w:rPr/>
          <w:t xml:space="preserve">L 2122-18</w:t>
        </w:r>
      </w:hyperlink>
      <w:r>
        <w:rPr/>
        <w:t xml:space="preserve"> et </w:t>
      </w:r>
      <w:hyperlink r:id="rId8" w:history="1">
        <w:r>
          <w:rPr/>
          <w:t xml:space="preserve">L 2122-20</w:t>
        </w:r>
      </w:hyperlink>
      <w:r>
        <w:rPr/>
        <w:t xml:space="preserve"> du CGCT, le maire peut à tout moment retirer une délégation de fonctions à un adjoint, sous réserve que cette décision ne soit pas fondée sur un motif étranger à la bonne marche de l'administration communale ou matériellement inexact.</w:t>
      </w:r>
    </w:p>
    <w:p>
      <w:pPr/>
      <w:r>
        <w:rPr/>
        <w:t xml:space="preserve">En l'espèce, le maire a retiré sa délégation à son adjointe après qu’elle a annoncé sa candidature aux départementales sous une étiquette politique, contrairement à l’esprit apolitique de leur liste municipale.</w:t>
      </w:r>
    </w:p>
    <w:p>
      <w:pPr/>
      <w:r>
        <w:rPr/>
        <w:t xml:space="preserve">Ce retrait, motivé par la rupture de confiance, a été jugé légitime, car lié à la bonne gestion de la commune (CAA Bordeaux, 5 juin 2025, </w:t>
      </w:r>
      <w:r>
        <w:rPr>
          <w:i w:val="1"/>
          <w:iCs w:val="1"/>
        </w:rPr>
        <w:t xml:space="preserve">Mme B.</w:t>
      </w:r>
      <w:r>
        <w:rPr/>
        <w:t xml:space="preserve">, n° 23BX02118).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1410795" TargetMode="External"/><Relationship Id="rId8" Type="http://schemas.openxmlformats.org/officeDocument/2006/relationships/hyperlink" Target="https://www.legifrance.gouv.fr/codes/article_lc/LEGIARTI000006389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2025-07-27T04:11:27+00:00</dcterms:created>
  <dcterms:modified xsi:type="dcterms:W3CDTF">2025-07-27T04:11:27+00:00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