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Compte financier unique. Généralisation à compter de l'exercice budgétaire 2026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L’ordonnance n° 2025-526 du 12 juin 2025 généralise le compte financier unique à toutes les entités publiques locales concernées d’ici 2026. Elle harmonise les régimes budgétaires et comptables sur le modèle des métropoles, tout en maintenant les spécificités propres à chaque type d’entité.</w:t>
      </w:r>
    </w:p>
    <w:p>
      <w:pPr/>
      <w:r>
        <w:rPr/>
        <w:t xml:space="preserve">Les dispositions de l'ordonnance s'appliquent à compter de l'exercice budgétaire 2026.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2025-07-27T04:10:41+00:00</dcterms:created>
  <dcterms:modified xsi:type="dcterms:W3CDTF">2025-07-27T04:10:41+00:00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