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Chemins ruraux. Modification du tracé par échange. Absence de consultation du public. Procédure illégale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La Cour administrative d'appel de Lyon a annulé la délibération municipale approuvant un échange de parcelles dans le cadre de la modification du tracé d’un chemin rural pour non-respect de l’obligation préalable d’informer et de consulter le public (</w:t>
      </w:r>
      <w:hyperlink r:id="rId7" w:history="1">
        <w:r>
          <w:rPr/>
          <w:t xml:space="preserve">art. L 161-10-2</w:t>
        </w:r>
      </w:hyperlink>
      <w:r>
        <w:rPr/>
        <w:t xml:space="preserve"> du code rural et de la pêche maritime) (CAA Lyon, 20 mars 2025,</w:t>
      </w:r>
      <w:r>
        <w:rPr>
          <w:i w:val="1"/>
          <w:iCs w:val="1"/>
        </w:rPr>
        <w:t xml:space="preserve"> association J'aime Communay</w:t>
      </w:r>
      <w:r>
        <w:rPr/>
        <w:t xml:space="preserve">, n° 23LY02172).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202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2025-07-27T10:24:59+00:00</dcterms:created>
  <dcterms:modified xsi:type="dcterms:W3CDTF">2025-07-27T10:24:59+00:00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