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Forfait post-stationnement. Titre exécutoire et avertissement. Modification des mentions</w:t>
      </w:r>
    </w:p>
    <w:p>
      <w:pPr>
        <w:pStyle w:val="Heading2"/>
      </w:pPr>
      <w:r>
        <w:rPr/>
        <w:t xml:space="preserve">Revue - Pouvoirs de police et sécurité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Un arrêté du 22 avril 2025 modifie les mentions obligatoires sur les avertissements pour forfait de post-stationnement impayé, ajoutant la date d'envoi de l'avertissement, en vigueur à partir du 1</w:t>
      </w:r>
      <w:r>
        <w:rPr>
          <w:vertAlign w:val="superscript"/>
        </w:rPr>
        <w:t xml:space="preserve">er</w:t>
      </w:r>
      <w:r>
        <w:rPr/>
        <w:t xml:space="preserve"> mai 2025.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2025-07-27T10:25:00+00:00</dcterms:created>
  <dcterms:modified xsi:type="dcterms:W3CDTF">2025-07-27T10:25:00+00:00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