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Assurance décennale. Travaux de construction. Obligation pour les candidats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Tout candidat à l’obtention d’un marché public doit être en mesure de justifier qu’il a souscrit un contrat d’assurance le couvrant de la responsabilité décennale (CAA Nancy, 6 mars 2025, </w:t>
      </w:r>
      <w:r>
        <w:rPr>
          <w:i w:val="1"/>
          <w:iCs w:val="1"/>
        </w:rPr>
        <w:t xml:space="preserve">EPAMA</w:t>
      </w:r>
      <w:r>
        <w:rPr/>
        <w:t xml:space="preserve">, n° 24NC03076).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2025-07-27T08:38:47+00:00</dcterms:created>
  <dcterms:modified xsi:type="dcterms:W3CDTF">2025-07-27T08:38:47+00:00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