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Révision du PLU. Obligations du commissaire enquêteur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 commissaire enquêteur, dans le cadre de la révision d’un PLU, doit informer de façon complète le public et éclairer l’autorité compétente en motivant son avis personnel sur le projet (</w:t>
      </w:r>
      <w:hyperlink r:id="rId7" w:history="1">
        <w:r>
          <w:rPr/>
          <w:t xml:space="preserve">art. L 123-1</w:t>
        </w:r>
      </w:hyperlink>
      <w:r>
        <w:rPr/>
        <w:t xml:space="preserve"> et </w:t>
      </w:r>
      <w:hyperlink r:id="rId8" w:history="1">
        <w:r>
          <w:rPr/>
          <w:t xml:space="preserve">R 123-19</w:t>
        </w:r>
      </w:hyperlink>
      <w:r>
        <w:rPr/>
        <w:t xml:space="preserve"> du code de l’environnement et </w:t>
      </w:r>
      <w:hyperlink r:id="rId9" w:history="1">
        <w:r>
          <w:rPr/>
          <w:t xml:space="preserve">L 153-19</w:t>
        </w:r>
      </w:hyperlink>
      <w:r>
        <w:rPr/>
        <w:t xml:space="preserve"> du code de l’urbanisme). Il n’est pas tenu de répondre à chaque observation, mais il doit se prononcer sur l’ensemble du projet, même si une partie fait l’objet d’un contentieux. </w:t>
      </w:r>
    </w:p>
    <w:p>
      <w:pPr/>
      <w:r>
        <w:rPr/>
        <w:t xml:space="preserve">En refusant de se prononcer sur l’orientation d’aménagement et de programmation (OAP) relative à un secteur très commentée lors de l’enquête publique en raison d’un recours en cours, le commissaire a méconnu ses obligations au regard de </w:t>
      </w:r>
      <w:hyperlink r:id="rId8" w:history="1">
        <w:r>
          <w:rPr/>
          <w:t xml:space="preserve">l’article R 123-19</w:t>
        </w:r>
      </w:hyperlink>
      <w:r>
        <w:rPr/>
        <w:t xml:space="preserve"> du code de l’environnement. Cette omission a privé le public d’une garantie essentielle, ce qui rend illégale la délibération approuvant la révision du PLU (CE, 30 avril 2025, </w:t>
      </w:r>
      <w:r>
        <w:rPr>
          <w:i w:val="1"/>
          <w:iCs w:val="1"/>
        </w:rPr>
        <w:t xml:space="preserve">commune d'Antibes</w:t>
      </w:r>
      <w:r>
        <w:rPr/>
        <w:t xml:space="preserve">, n° 490965).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3038596" TargetMode="External"/><Relationship Id="rId8" Type="http://schemas.openxmlformats.org/officeDocument/2006/relationships/hyperlink" Target="https://www.legifrance.gouv.fr/codes/article_lc/LEGIARTI000049913413" TargetMode="External"/><Relationship Id="rId9" Type="http://schemas.openxmlformats.org/officeDocument/2006/relationships/hyperlink" Target="https://www.legifrance.gouv.fr/codes/article_lc/LEGIARTI000031211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2025-07-28T00:15:19+00:00</dcterms:created>
  <dcterms:modified xsi:type="dcterms:W3CDTF">2025-07-28T00:15:19+00:00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