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Cumul d’activités. Augmentation de l’activité accessoire. Autorisation (non si augmentation modérée)</w:t>
      </w:r>
    </w:p>
    <w:p>
      <w:pPr>
        <w:pStyle w:val="Heading2"/>
      </w:pPr>
      <w:r>
        <w:rPr/>
        <w:t xml:space="preserve">Revue - Fonction Publique Territoriale</w:t>
      </w:r>
    </w:p>
    <w:p>
      <w:pPr>
        <w:pStyle w:val="Heading3"/>
      </w:pPr>
      <w:r>
        <w:rPr/>
        <w:t xml:space="preserve">Source - Jurisprudence</w:t>
      </w:r>
    </w:p>
    <w:p/>
    <w:p>
      <w:pPr/>
      <w:r>
        <w:rPr/>
        <w:t xml:space="preserve">Seuls les changements substantiels dans les conditions d’exercice ou de rémunération d’une activité accessoire nécessitent une nouvelle autorisation. Une simple augmentation modérée du volume horaire ne suffit pas à caractériser une irrégularité justifiant une sanction disciplinaire ou un reversement.</w:t>
      </w:r>
    </w:p>
    <w:p>
      <w:pPr/>
      <w:r>
        <w:rPr/>
        <w:t xml:space="preserve">La cour annule le blâme et les titres exécutoires infligés à un agent territorial pour exercice non autorisé d’une activité accessoire (enseignement du judo). Elle juge que l’augmentation limitée de son volume horaire (2 heures de plus par semaine)</w:t>
      </w:r>
      <w:r>
        <w:rPr>
          <w:rFonts w:ascii="Sourcesanspro" w:hAnsi="Sourcesanspro" w:eastAsia="Sourcesanspro" w:cs="Sourcesanspro"/>
          <w:color w:val="000000"/>
          <w:sz w:val="21"/>
          <w:szCs w:val="21"/>
          <w:shd w:val="clear" w:fill="ffffff"/>
        </w:rPr>
        <w:t xml:space="preserve"> </w:t>
      </w:r>
      <w:r>
        <w:rPr/>
        <w:t xml:space="preserve">ne constituait pas un changement substantiel nécessitant une nouvelle autorisation. Dès lors, ni la sanction disciplinaire ni le recouvrement des rémunérations perçues ne sont légalement fondés (CAA Lyon, 22 janvier 2025, </w:t>
      </w:r>
      <w:r>
        <w:rPr>
          <w:i w:val="1"/>
          <w:iCs w:val="1"/>
        </w:rPr>
        <w:t xml:space="preserve">commune de Saint-Pourçain-sur-Sioule</w:t>
      </w:r>
      <w:r>
        <w:rPr/>
        <w:t xml:space="preserve">, n° 23LY01758).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2025-07-27T10:23:18+00:00</dcterms:created>
  <dcterms:modified xsi:type="dcterms:W3CDTF">2025-07-27T10:23:18+00:00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