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Transfert des compétences eau et assainissement aux EPCI. Vers la suppression du transfert obligatoire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Une proposition de loi, adoptée en octobre 2024 et en procédure accélérée, vise à rendre ce transfert facultatif pour les communes ne l'ayant pas encore effectué. </w:t>
      </w:r>
    </w:p>
    <w:p>
      <w:pPr/>
      <w:r>
        <w:rPr/>
        <w:t xml:space="preserve">Aucun texte réglementaire d’application ne sera nécessaire pour sa mise en œuvre (</w:t>
      </w:r>
      <w:r>
        <w:rPr>
          <w:i w:val="1"/>
          <w:iCs w:val="1"/>
        </w:rPr>
        <w:t xml:space="preserve">JO </w:t>
      </w:r>
      <w:r>
        <w:rPr/>
        <w:t xml:space="preserve">AN, 25.02.2025, question n° 2258, p. 1231 ).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2025-07-27T10:22:03+00:00</dcterms:created>
  <dcterms:modified xsi:type="dcterms:W3CDTF">2025-07-27T10:22:03+00:00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