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Litige avec le service assainissement (SPIC). Canalisation endommagée. Ouvrage relevant de ce service (oui)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Les litiges entre le service public industriel et commercial de l'assainissement et ses usagers relèvent de la compétence de la juridiction judiciaire.</w:t>
      </w:r>
    </w:p>
    <w:p>
      <w:pPr/>
      <w:r>
        <w:rPr/>
        <w:t xml:space="preserve">Cela inclut les dommages causés lors de la fourniture du service suite à un vice de conception, à l'exécution de travaux publics ou à l'entretien d'ouvrages publics (CE, 7 février 2025, </w:t>
      </w:r>
      <w:r>
        <w:rPr>
          <w:i w:val="1"/>
          <w:iCs w:val="1"/>
        </w:rPr>
        <w:t xml:space="preserve">M. B. c/Etablissement public territorial de Plaine commune</w:t>
      </w:r>
      <w:r>
        <w:rPr/>
        <w:t xml:space="preserve">, n° 494967).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2025-07-27T10:19:42+00:00</dcterms:created>
  <dcterms:modified xsi:type="dcterms:W3CDTF">2025-07-27T10:19:42+00:00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