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d’aménagement. Changement de destination. Transformation en locaux d'habitation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Aux termes de </w:t>
      </w:r>
      <w:hyperlink r:id="rId7" w:history="1">
        <w:r>
          <w:rPr/>
          <w:t xml:space="preserve">l'article 111</w:t>
        </w:r>
      </w:hyperlink>
      <w:r>
        <w:rPr/>
        <w:t xml:space="preserve"> de la loi n° 2025-127 du 14 février 2025 de finances pour 2025, donnent lieu au paiement de la taxe d'aménagement les opérations soumises à déclaration préalable ou à permis de construire qui ont pour effet de changer la destination de locaux non destinés à l'habitation en locaux d'habitation (</w:t>
      </w:r>
      <w:hyperlink r:id="rId8" w:history="1">
        <w:r>
          <w:rPr/>
          <w:t xml:space="preserve">art. 1635 quater B</w:t>
        </w:r>
      </w:hyperlink>
      <w:r>
        <w:rPr/>
        <w:t xml:space="preserve"> du CGI). Une exonération est possible (</w:t>
      </w:r>
      <w:hyperlink r:id="rId9" w:history="1">
        <w:r>
          <w:rPr/>
          <w:t xml:space="preserve">art. 1635 quater E</w:t>
        </w:r>
      </w:hyperlink>
      <w:r>
        <w:rPr/>
        <w:t xml:space="preserve">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article_jo/JORFARTI000051169069" TargetMode="External"/><Relationship Id="rId8" Type="http://schemas.openxmlformats.org/officeDocument/2006/relationships/hyperlink" Target="https://www.legifrance.gouv.fr/codes/article_lc/LEGIARTI000051219757" TargetMode="External"/><Relationship Id="rId9" Type="http://schemas.openxmlformats.org/officeDocument/2006/relationships/hyperlink" Target="https://www.legifrance.gouv.fr/codes/article_lc/LEGIARTI000051217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2025-07-27T10:18:59+00:00</dcterms:created>
  <dcterms:modified xsi:type="dcterms:W3CDTF">2025-07-27T10:18:59+00:00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