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Contentieux d'urbanisme. Intérêt à agir. Héritier de l’usufruitier (non)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La seule qualité d'héritier de l’usufruitière d'un bien immobilier ne suffit pas à donner intérêt pour agir contre le permis de construire d’un voisin (CE, 20 décembre 2024, </w:t>
      </w:r>
      <w:r>
        <w:rPr>
          <w:i w:val="1"/>
          <w:iCs w:val="1"/>
        </w:rPr>
        <w:t xml:space="preserve">société Le Gardeno</w:t>
      </w:r>
      <w:r>
        <w:rPr/>
        <w:t xml:space="preserve">, n° 489830).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2025-07-29T05:44:34+00:00</dcterms:created>
  <dcterms:modified xsi:type="dcterms:W3CDTF">2025-07-29T05:44:34+00:00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