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Pavoisement. Présence du drapeau ukrainien. Compétence du conseil municipal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 </w:t>
      </w:r>
      <w:r>
        <w:rPr/>
        <w:t xml:space="preserve">La commune a pavoisé la façade principale de son hôtel de ville du drapeau ukrainien, aux côtés des drapeaux français et européen.</w:t>
      </w:r>
    </w:p>
    <w:p>
      <w:pPr/>
      <w:r>
        <w:rPr>
          <w:b w:val="1"/>
          <w:bCs w:val="1"/>
        </w:rPr>
        <w:t xml:space="preserve">2.</w:t>
      </w:r>
      <w:r>
        <w:rPr/>
        <w:t xml:space="preserve"> Cette action ne constitue pas une ingérence caractérisée et illégitime dans une affaire relevant de la politique internationale de la France qu’il appartient seul à l’État de conduire dès lors qu’elle reste dans l’ordre du symbolique et s’inscrit dans le contexte national de soutien diplomatique, humanitaire et matériel offert à l’Ukraine par l’État français.</w:t>
      </w:r>
    </w:p>
    <w:p>
      <w:pPr/>
      <w:r>
        <w:rPr>
          <w:b w:val="1"/>
          <w:bCs w:val="1"/>
        </w:rPr>
        <w:t xml:space="preserve">3.</w:t>
      </w:r>
      <w:r>
        <w:rPr/>
        <w:t xml:space="preserve"> Le Tribunal administratif de Versailles a cependant annulé la décision attaquée, mais seulement parce qu’un maire n’a pas le pouvoir de décider seul de mettre le drapeau sur la façade ; il doit obtenir une délibération du conseil municipal (TA Versailles, 20 décembre 2024, n° 2208477).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2025-07-29T06:27:56+00:00</dcterms:created>
  <dcterms:modified xsi:type="dcterms:W3CDTF">2025-07-29T06:27:56+00:00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