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Permis de construire obtenu par fraude. Possibilité de régularisation (non)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Lorsqu'un permis de construire a été obtenu par fraude, l'illégalité qui en résulte n'est pas de nature à être régularisée par la délivrance d'un permis de construire modificatif (CE, 18 décembre 2024, </w:t>
      </w:r>
      <w:r>
        <w:rPr>
          <w:i w:val="1"/>
          <w:iCs w:val="1"/>
        </w:rPr>
        <w:t xml:space="preserve">commune de Villennes-sur-Seine</w:t>
      </w:r>
      <w:r>
        <w:rPr/>
        <w:t xml:space="preserve">, n° 490711).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2025-07-29T05:29:38+00:00</dcterms:created>
  <dcterms:modified xsi:type="dcterms:W3CDTF">2025-07-29T05:29:38+00:00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