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Contrat de subvention et promesse d’achat. Qualification en marché public de travaux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Un contrat comprenant une subvention et une promesse d’achat pour la réalisation d’un ouvrage constitue un marché public de travaux s'il lie un acheteur à un entreprise avec des obligations réciproques. La Cour de justice de l’Union européenne confirme cette qualification, même si le contrat inclut une subvention (CJUE, 17 octobre 2024, </w:t>
      </w:r>
      <w:r>
        <w:rPr>
          <w:i w:val="1"/>
          <w:iCs w:val="1"/>
        </w:rPr>
        <w:t xml:space="preserve">NFŠ a. s. c/République slovaque</w:t>
      </w:r>
      <w:r>
        <w:rPr/>
        <w:t xml:space="preserve">, n° C-28/23).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En savoir plus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A03B9473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nomie.gouv.fr/daj/lettre-de-la-daj-un-ensemble-contractuel-comprenant-un-contrat-de-subvention-et-une-prome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2025-07-27T13:22:53+00:00</dcterms:created>
  <dcterms:modified xsi:type="dcterms:W3CDTF">2025-07-27T13:22:53+00:00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