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Vacance au conseil municipal. Suivant de liste. Date à prendre en compte pour apprécier son inéligibilité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 La désignation du remplaçant d’un conseiller municipal dont le siège devient vacant, faite en application du 1</w:t>
      </w:r>
      <w:r>
        <w:rPr>
          <w:vertAlign w:val="superscript"/>
        </w:rPr>
        <w:t xml:space="preserve">er</w:t>
      </w:r>
      <w:r>
        <w:rPr/>
        <w:t xml:space="preserve"> alinéa de </w:t>
      </w:r>
      <w:hyperlink r:id="rId7" w:history="1">
        <w:r>
          <w:rPr/>
          <w:t xml:space="preserve">l’article L 270</w:t>
        </w:r>
      </w:hyperlink>
      <w:r>
        <w:rPr/>
        <w:t xml:space="preserve"> du code électoral, résulte de la proclamation du candidat rendue publique par la mention de son nom dans le tableau du conseil municipal.</w:t>
      </w:r>
    </w:p>
    <w:p>
      <w:pPr/>
      <w:r>
        <w:rPr>
          <w:b w:val="1"/>
          <w:bCs w:val="1"/>
        </w:rPr>
        <w:t xml:space="preserve">2. </w:t>
      </w:r>
      <w:r>
        <w:rPr/>
        <w:t xml:space="preserve">En l’espèce, il résulte de l’instruction que si à la date de la démission de l'élu, sa remplaçante était salariée de la commune, elle ne l’était plus à la date de la proclamation de sa désignation comme conseillère municipale par l’établissement du tableau du conseil municipal comprenant son nom (CE, 29 novembre 2024, </w:t>
      </w:r>
      <w:r>
        <w:rPr>
          <w:i w:val="1"/>
          <w:iCs w:val="1"/>
        </w:rPr>
        <w:t xml:space="preserve">préfet du Nord</w:t>
      </w:r>
      <w:r>
        <w:rPr/>
        <w:t xml:space="preserve">, n° 494063).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1411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2025-07-27T13:21:58+00:00</dcterms:created>
  <dcterms:modified xsi:type="dcterms:W3CDTF">2025-07-27T13:21:58+00:00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