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Certificat d'urbanisme. Absence de transmission au contrôle de légalité. Garantie des droits (oui)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Les dispositions de </w:t>
      </w:r>
      <w:hyperlink r:id="rId7" w:history="1">
        <w:r>
          <w:rPr/>
          <w:t xml:space="preserve">l'article L 410-1</w:t>
        </w:r>
      </w:hyperlink>
      <w:r>
        <w:rPr/>
        <w:t xml:space="preserve"> du code de l'urbanisme garantissent l'examen d'une demande de permis de construire dans les 18 mois suivant un certificat d'urbanisme, selon les règles en vigueur à la date du certificat, et permettent de compléter cette demande sans perdre ce droit après les 18 mois.</w:t>
      </w:r>
    </w:p>
    <w:p>
      <w:pPr/>
      <w:r>
        <w:rPr/>
        <w:t xml:space="preserve">Le Conseil d'État précise que ces dispositions s'appliquent même si le certificat d'urbanisme n'a pas été transmis au contrôle de légalité comme il aurait dû l'être (CE, 18 novembre 2024, </w:t>
      </w:r>
      <w:r>
        <w:rPr>
          <w:i w:val="1"/>
          <w:iCs w:val="1"/>
        </w:rPr>
        <w:t xml:space="preserve">M. C.</w:t>
      </w:r>
      <w:r>
        <w:rPr/>
        <w:t xml:space="preserve">, n° 476298).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376676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2025-07-27T14:20:14+00:00</dcterms:created>
  <dcterms:modified xsi:type="dcterms:W3CDTF">2025-07-27T14:20:14+00:00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