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Autorisations d'urbanisme. Obligation de transmission par voie électronique pour les personnes morales (communes de + 3 500 hab.)</w:t>
      </w:r>
    </w:p>
    <w:p>
      <w:pPr>
        <w:pStyle w:val="Heading2"/>
      </w:pPr>
      <w:r>
        <w:rPr/>
        <w:t xml:space="preserve">Revue - Urbanisme</w:t>
      </w:r>
    </w:p>
    <w:p>
      <w:pPr>
        <w:pStyle w:val="Heading3"/>
      </w:pPr>
      <w:r>
        <w:rPr/>
        <w:t xml:space="preserve">Source - JO</w:t>
      </w:r>
    </w:p>
    <w:p/>
    <w:p>
      <w:pPr/>
      <w:r>
        <w:rPr/>
        <w:t xml:space="preserve">Le décret n° 2024-1043 du 18 novembre 2024 portant diverses dispositions relatives aux autorisations d'urbanisme crée une obligation de transmission par voie électronique, pour les personnes morales, des demandes d'autorisation d'urbanisme dans les communes de plus de 3 500 habitants.</w:t>
      </w:r>
    </w:p>
    <w:p>
      <w:pPr/>
      <w:r>
        <w:rPr/>
        <w:t xml:space="preserve">Il crée également une nouvelle modalité du permis d'aménager, en permettant à celui-ci d'être réalisé et garanti financièrement par tranches en fonction de l'achèvement de ces dernières.</w:t>
      </w:r>
    </w:p>
    <w:p>
      <w:pPr/>
      <w:r>
        <w:rPr/>
        <w:t xml:space="preserve">Les dispositions de l'article 1</w:t>
      </w:r>
      <w:r>
        <w:rPr>
          <w:vertAlign w:val="superscript"/>
        </w:rPr>
        <w:t xml:space="preserve">er</w:t>
      </w:r>
      <w:r>
        <w:rPr/>
        <w:t xml:space="preserve"> s'appliquent aux demandes d'autorisation d'urbanisme déposées à compter du 1</w:t>
      </w:r>
      <w:r>
        <w:rPr>
          <w:vertAlign w:val="superscript"/>
        </w:rPr>
        <w:t xml:space="preserve">er</w:t>
      </w:r>
      <w:r>
        <w:rPr/>
        <w:t xml:space="preserve"> janvier 2025. Les dispositions de l'article 2 s'appliquent aux demandes d'autorisation d'urbanisme déposées à compter de l'expiration d'un délai de 30 jours suivant la publication du présent décret.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2025-07-27T15:11:51+00:00</dcterms:created>
  <dcterms:modified xsi:type="dcterms:W3CDTF">2025-07-27T15:11:51+00:00</dcterms:modified>
</cp:coreProperties>
</file>

<file path=docProps/custom.xml><?xml version="1.0" encoding="utf-8"?>
<Properties xmlns="http://schemas.openxmlformats.org/officeDocument/2006/custom-properties" xmlns:vt="http://schemas.openxmlformats.org/officeDocument/2006/docPropsVTypes"/>
</file>