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Contrat d’engagement républicain. Modification du texte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Les associations qui demandent une subvention publique doivent s’engager à respecter le caractère laïque et les principes de la laïcité dans un « contrat d’engagement républicain » dont le contenu est fixé par décret (</w:t>
      </w:r>
      <w:hyperlink r:id="rId7" w:history="1">
        <w:r>
          <w:rPr/>
          <w:t xml:space="preserve">art. 10-1</w:t>
        </w:r>
      </w:hyperlink>
      <w:r>
        <w:rPr/>
        <w:t xml:space="preserve"> de la loi n° 2000-321 du 12 avril 2000 ; </w:t>
      </w:r>
      <w:hyperlink r:id="rId8" w:history="1">
        <w:r>
          <w:rPr/>
          <w:t xml:space="preserve">décret n° 2021-1947</w:t>
        </w:r>
      </w:hyperlink>
      <w:r>
        <w:rPr/>
        <w:t xml:space="preserve"> du 31 décembre 2021).</w:t>
      </w:r>
    </w:p>
    <w:p>
      <w:pPr/>
      <w:r>
        <w:rPr/>
        <w:t xml:space="preserve">Dans ces conditions, la collectivité n'était pas compétente pour adapter le contenu de ce contrat, notamment en ajoutant, au sein de l'engagement n° 1, une obligation, non prévue par ce décret, relative à l'interdiction, par le bénéficiaire de la subvention, du « port de tenues vestimentaires traduisant une quelconque forme de prosélytisme religieux dans un espace public, à l'exception des représentants des cultes » (TA Lyon, 24 juillet 2024, </w:t>
      </w:r>
      <w:r>
        <w:rPr>
          <w:i w:val="1"/>
          <w:iCs w:val="1"/>
        </w:rPr>
        <w:t xml:space="preserve">Ligue des droits de l’homme</w:t>
      </w:r>
      <w:r>
        <w:rPr/>
        <w:t xml:space="preserve">, n° 2203793).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article_lc/LEGIARTI000043970265" TargetMode="External"/><Relationship Id="rId8" Type="http://schemas.openxmlformats.org/officeDocument/2006/relationships/hyperlink" Target="https://www.legifrance.gouv.fr/eli/decret/2021/12/31/INTD2133844D/jo/te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2025-07-27T16:06:33+00:00</dcterms:created>
  <dcterms:modified xsi:type="dcterms:W3CDTF">2025-07-27T16:06:33+00:00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