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Ralentisseur non conforme. Démolition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Des requérants ont demandé au tribunal administratif d'ordonner la suppression de deux ralentisseurs sur la route départementale près de leur propriété, invoquant leur non-conformité avec la réglementation (notamment l’article 3 </w:t>
      </w:r>
      <w:hyperlink r:id="rId7" w:history="1">
        <w:r>
          <w:rPr/>
          <w:t xml:space="preserve">du décret n° 94-447</w:t>
        </w:r>
      </w:hyperlink>
      <w:r>
        <w:rPr/>
        <w:t xml:space="preserve"> du 27 mai 1994) et des nuisances sonores excessives.</w:t>
      </w:r>
    </w:p>
    <w:p>
      <w:pPr/>
      <w:r>
        <w:rPr/>
        <w:t xml:space="preserve">Le tribunal juge que les ralentisseurs étaient irrégulièrement implantés, car installés sur une route avec un trafic excédant la limite réglementaire de 3 000 véhicules par jour. En conséquence, le tribunal a ordonné leur démolition (TA Toulon, 11 juillet 2024, n° 2201488).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id/JORFTEXT000000165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2025-07-27T16:58:13+00:00</dcterms:created>
  <dcterms:modified xsi:type="dcterms:W3CDTF">2025-07-27T16:58:13+00:00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