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EPCI à fiscalité additionnelle et FPU. Règles de liens entre les taux</w:t>
      </w:r>
    </w:p>
    <w:p>
      <w:pPr>
        <w:pStyle w:val="Heading2"/>
      </w:pPr>
      <w:r>
        <w:rPr/>
        <w:t xml:space="preserve">Revue - Intercommunalité</w:t>
      </w:r>
    </w:p>
    <w:p>
      <w:pPr>
        <w:pStyle w:val="Heading3"/>
      </w:pPr>
      <w:r>
        <w:rPr/>
        <w:t xml:space="preserve">Source - JO AN - JO Sénat</w:t>
      </w:r>
    </w:p>
    <w:p/>
    <w:p>
      <w:pPr/>
      <w:r>
        <w:rPr>
          <w:b w:val="1"/>
          <w:bCs w:val="1"/>
        </w:rPr>
        <w:t xml:space="preserve">1.</w:t>
      </w:r>
      <w:r>
        <w:rPr/>
        <w:t xml:space="preserve"> Dans le cadre du nouveau schéma de financement des collectivités locales issu de la réforme de la taxe d'habitation, la taxe foncière sur les propriétés bâties (TFPB) est devenue l'imposition de référence pour l'application des règles de lien selon la variation différenciée entre les taux des impôts locaux. Ainsi, à compter des impositions établies au titre de l'année 2023, lorsqu'ils recourent à la variation différenciée, les communes et les EPCI à fiscalité propre peuvent moduler les variations des taux de la cotisation foncière des entreprises (CFE), de la taxe d'habitation sur les résidences secondaires et autres locaux meublés non affectés à l'habitation principale (THRS), de la taxe foncière sur les propriétés non bâties (TFPNB) et de la TFPB dans le respect des règles suivantes.</w:t>
      </w:r>
    </w:p>
    <w:p>
      <w:pPr/>
      <w:r>
        <w:rPr>
          <w:b w:val="1"/>
          <w:bCs w:val="1"/>
        </w:rPr>
        <w:t xml:space="preserve">2. </w:t>
      </w:r>
      <w:r>
        <w:rPr/>
        <w:t xml:space="preserve">Pour les EPCI à fiscalité additionnelle, d'une part les taux de la CFE et de la THRS ne peuvent pas augmenter plus ou diminuer moins que le taux de la TFPB ou que le taux moyen pondéré (TMP) des taxes foncières et, d'autre part, le taux de la TFPNB ne peut pas augmenter plus ou diminuer moins que celui de la TFPB (</w:t>
      </w:r>
      <w:hyperlink r:id="rId7" w:history="1">
        <w:r>
          <w:rPr/>
          <w:t xml:space="preserve">art. 1636 B sexies, I, 1, b</w:t>
        </w:r>
      </w:hyperlink>
      <w:r>
        <w:rPr/>
        <w:t xml:space="preserve"> du code général des impôts). Dans ces deux cas, les variations sont celles de l'année N, c'est-à-dire celles constatées entre N-1 et N.</w:t>
      </w:r>
    </w:p>
    <w:p>
      <w:pPr/>
      <w:r>
        <w:rPr>
          <w:b w:val="1"/>
          <w:bCs w:val="1"/>
        </w:rPr>
        <w:t xml:space="preserve">3.</w:t>
      </w:r>
      <w:r>
        <w:rPr/>
        <w:t xml:space="preserve"> Les EPCI à fiscalité professionnelle unique (FPU) obéissent aux mêmes règles pour le calcul des variations de taux, à l'exception toutefois de dispositions spécifiques appliquées à la CFE : ces EPCI ne font pas l'objet d'encadrement pour faire varier à la baisse le taux de CFE ; en revanche, à la hausse, l'augmentation du taux de CFE est limitée à la variation du TMP, de la TFPB ou du TMP des taxes foncières constatée sur son territoire entre N-2 et N-1 ou, en l'absence de variation sur cette période, entre N-3 et N-2 (</w:t>
      </w:r>
      <w:hyperlink r:id="rId8" w:history="1">
        <w:r>
          <w:rPr/>
          <w:t xml:space="preserve">art. 1636 B decies II, 1° à 3°</w:t>
        </w:r>
      </w:hyperlink>
      <w:r>
        <w:rPr/>
        <w:t xml:space="preserve"> du code général des impôts). Ces dispositions, spécifiques à la CFE, ne s'appliquent pas à la variation différenciée du taux de THRS d'un EPCI à FPU (</w:t>
      </w:r>
      <w:r>
        <w:rPr>
          <w:i w:val="1"/>
          <w:iCs w:val="1"/>
        </w:rPr>
        <w:t xml:space="preserve">JO </w:t>
      </w:r>
      <w:r>
        <w:rPr/>
        <w:t xml:space="preserve">Sénat, 13.06.2024, question n° 08942, p. 2766).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8837442" TargetMode="External"/><Relationship Id="rId8" Type="http://schemas.openxmlformats.org/officeDocument/2006/relationships/hyperlink" Target="https://www.legifrance.gouv.fr/codes/article_lc/LEGIARTI000041600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2025-07-27T16:14:45+00:00</dcterms:created>
  <dcterms:modified xsi:type="dcterms:W3CDTF">2025-07-27T16:14:45+00:00</dcterms:modified>
</cp:coreProperties>
</file>

<file path=docProps/custom.xml><?xml version="1.0" encoding="utf-8"?>
<Properties xmlns="http://schemas.openxmlformats.org/officeDocument/2006/custom-properties" xmlns:vt="http://schemas.openxmlformats.org/officeDocument/2006/docPropsVTypes"/>
</file>