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Droit de préemption commercial. Diversité commerciale d'offre de restauration. Maintien d'une offre de restauration classique (non)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Les collectivités titulaires du droit de préemption commercial peuvent légalement exercer ce droit :</w:t>
      </w:r>
    </w:p>
    <w:p>
      <w:pPr/>
      <w:r>
        <w:rPr/>
        <w:t xml:space="preserve">- d'une part, si elles justifient, à la date à laquelle elles l'exercent, de la réalité d'un projet d'action ou d'opération d'aménagement répondant aux objets mentionnés à </w:t>
      </w:r>
      <w:hyperlink r:id="rId7" w:history="1">
        <w:r>
          <w:rPr/>
          <w:t xml:space="preserve">l'article L 300-1</w:t>
        </w:r>
      </w:hyperlink>
      <w:r>
        <w:rPr/>
        <w:t xml:space="preserve"> du code de l'urbanisme, alors même que les caractéristiques précises de ce projet n'auraient pas été définies à cette date ;</w:t>
      </w:r>
      <w:br/>
      <w:r>
        <w:rPr/>
        <w:t xml:space="preserve"> - et, d'autre part, si elles font apparaître la nature de ce projet dans la décision de préemption.</w:t>
      </w:r>
    </w:p>
    <w:p>
      <w:pPr/>
      <w:r>
        <w:rPr/>
        <w:t xml:space="preserve">En outre, la mise en œuvre de ce droit doit répondre à un intérêt général suffisant.</w:t>
      </w:r>
    </w:p>
    <w:p>
      <w:pPr/>
      <w:r>
        <w:rPr/>
        <w:t xml:space="preserve">Pour justifier la réalité d'un projet préexistant, la commune fait valoir qu'elle a exercé son droit de préemption dans un objectif de maintien d'une « diversité commerciale d'offre de restauration, par la recherche du maintien d'une offre de restauration classique ».</w:t>
      </w:r>
    </w:p>
    <w:p>
      <w:pPr/>
      <w:r>
        <w:rPr/>
        <w:t xml:space="preserve">Toutefois, un tel objectif de diversification ne figure pas au nombre de ceux que permet de poursuivre le droit de préemption commercial (TA Lille, 21 mai 2024, </w:t>
      </w:r>
      <w:hyperlink r:id="rId8" w:history="1">
        <w:r>
          <w:rPr>
            <w:i w:val="1"/>
            <w:iCs w:val="1"/>
          </w:rPr>
          <w:t xml:space="preserve">commune de Wasquehal</w:t>
        </w:r>
      </w:hyperlink>
      <w:r>
        <w:rPr/>
        <w:t xml:space="preserve">, n° 2401841 ; CE, 21 août 2024, </w:t>
      </w:r>
      <w:hyperlink r:id="rId9" w:history="1">
        <w:r>
          <w:rPr>
            <w:i w:val="1"/>
            <w:iCs w:val="1"/>
          </w:rPr>
          <w:t xml:space="preserve">commune de Wasquehal</w:t>
        </w:r>
      </w:hyperlink>
      <w:r>
        <w:rPr/>
        <w:t xml:space="preserve">, n° 494940).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7870470" TargetMode="External"/><Relationship Id="rId8" Type="http://schemas.openxmlformats.org/officeDocument/2006/relationships/hyperlink" Target="https://opendata.justice-administrative.fr/recherche/shareFile/DTA_2401841_20240521" TargetMode="External"/><Relationship Id="rId9" Type="http://schemas.openxmlformats.org/officeDocument/2006/relationships/hyperlink" Target="https://opendata.justice-administrative.fr/recherche/shareFile/ORCE_494940_202408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2025-07-27T17:03:13+00:00</dcterms:created>
  <dcterms:modified xsi:type="dcterms:W3CDTF">2025-07-27T17:03:13+00:00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