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Recul du trait de côte. Préemption. Conditions d'application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La loi a mis en place un nouveau droit de préemption propre à l'adaptation des territoires exposés au recul du trait de côte (</w:t>
      </w:r>
      <w:hyperlink r:id="rId7" w:history="1">
        <w:r>
          <w:rPr/>
          <w:t xml:space="preserve">art. L 219-1 et s.</w:t>
        </w:r>
      </w:hyperlink>
      <w:r>
        <w:rPr/>
        <w:t xml:space="preserve"> du code de l'urbanisme). Il peut être délégué notamment à des établissements publics y ayant vocation, tels que les établissements publics fonciers (EPF) de l'Etat et locaux.</w:t>
      </w:r>
    </w:p>
    <w:p>
      <w:pPr/>
      <w:r>
        <w:rPr/>
        <w:t xml:space="preserve">Le décret n° 2024-638 du 27 juin 2024 vient préciser les conditions d'application de ce droit de préemption, comme le prévoit </w:t>
      </w:r>
      <w:hyperlink r:id="rId8" w:history="1">
        <w:r>
          <w:rPr/>
          <w:t xml:space="preserve">l'article L 219-13</w:t>
        </w:r>
      </w:hyperlink>
      <w:r>
        <w:rPr/>
        <w:t xml:space="preserve"> du code de l'urbanisme, et ce en reprenant ou en renvoyant en tout ou partie à des dispositions d'ores et déjà applicables à d'autres droits de préemption prévus par ce même code.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section_lc/LEGITEXT000006074075/LEGISCTA000043962133/#LEGISCTA000043962133" TargetMode="External"/><Relationship Id="rId8" Type="http://schemas.openxmlformats.org/officeDocument/2006/relationships/hyperlink" Target="https://www.legifrance.gouv.fr/codes/article_lc/LEGIARTI000043962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2025-07-27T19:17:44+00:00</dcterms:created>
  <dcterms:modified xsi:type="dcterms:W3CDTF">2025-07-27T19:17:44+00:00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