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Infraction d'urbanisme. Recours contre le refus du maire de dresser PV. Obligation de notification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En l’espèce, le maire avait refusé de dresser PV pour infraction d’urbanisme et le pétitionnaire contestait le recours contre ce refus pour défaut de notification.</w:t>
      </w:r>
    </w:p>
    <w:p>
      <w:pPr/>
      <w:r>
        <w:rPr>
          <w:b w:val="1"/>
          <w:bCs w:val="1"/>
        </w:rPr>
        <w:t xml:space="preserve">1. </w:t>
      </w:r>
      <w:r>
        <w:rPr/>
        <w:t xml:space="preserve">Le maire est tenu de dresser un procès-verbal lorsqu'il a connaissance d'une infraction d’urbanisme.</w:t>
      </w:r>
    </w:p>
    <w:p>
      <w:pPr/>
      <w:r>
        <w:rPr>
          <w:b w:val="1"/>
          <w:bCs w:val="1"/>
        </w:rPr>
        <w:t xml:space="preserve">2.</w:t>
      </w:r>
      <w:r>
        <w:rPr/>
        <w:t xml:space="preserve"> Par ailleurs, l’auteur d'un recours contentieux à l’encontre d’une autorisation d’urbanisme est soumis, à peine d'irrecevabilité, à une obligation de notifier ce recours à l'auteur de la décision et au titulaire de l'autorisation (</w:t>
      </w:r>
      <w:hyperlink r:id="rId7" w:history="1">
        <w:r>
          <w:rPr/>
          <w:t xml:space="preserve">art. R 600-1</w:t>
        </w:r>
      </w:hyperlink>
      <w:r>
        <w:rPr/>
        <w:t xml:space="preserve"> du code de l'urbanisme).</w:t>
      </w:r>
    </w:p>
    <w:p>
      <w:pPr/>
      <w:r>
        <w:rPr>
          <w:b w:val="1"/>
          <w:bCs w:val="1"/>
        </w:rPr>
        <w:t xml:space="preserve">3.</w:t>
      </w:r>
      <w:r>
        <w:rPr/>
        <w:t xml:space="preserve"> Mais les décisions d'un maire d'user, ou de pas user, de ses pouvoirs de police pour faire dresser procès-verbal d'une infraction d'urbanisme ne constituent pas des décisions relatives à l'occupation du sol et un recours contre ces décisions n’est pas soumis à obligation de notification (CE, 30 avril 2024, </w:t>
      </w:r>
      <w:r>
        <w:rPr>
          <w:i w:val="1"/>
          <w:iCs w:val="1"/>
        </w:rPr>
        <w:t xml:space="preserve">M. C.</w:t>
      </w:r>
      <w:r>
        <w:rPr/>
        <w:t xml:space="preserve">, n° 468912).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8369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2025-07-27T19:41:31+00:00</dcterms:created>
  <dcterms:modified xsi:type="dcterms:W3CDTF">2025-07-27T19:41:31+00:00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