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Consultation du référent déontologue. Saisine sur le cas d’un autre élu (non)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Chaque élu local, sans distinction, doit pouvoir saisir le référent déontologue en cas d'interrogation ou de doute relatif à l'application de la charte de l'élu local le concernant. Mais, il ne peut pas saisir le référent déontologue de la situation d'un autre élu.</w:t>
      </w:r>
    </w:p>
    <w:p>
      <w:pPr/>
      <w:r>
        <w:rPr/>
        <w:t xml:space="preserve">Afin d'accompagner les collectivités dans la mise en œuvre de ce nouveau dispositif, la Direction générale des collectivités locales a élaboré </w:t>
      </w:r>
      <w:hyperlink r:id="rId7" w:history="1">
        <w:r>
          <w:rPr/>
          <w:t xml:space="preserve">un guide</w:t>
        </w:r>
      </w:hyperlink>
      <w:r>
        <w:rPr/>
        <w:t xml:space="preserve"> relatif à la désignation des référents déontologues des élus locaux, qui explicite et illustre les dispositions réglementaires (</w:t>
      </w:r>
      <w:r>
        <w:rPr>
          <w:i w:val="1"/>
          <w:iCs w:val="1"/>
        </w:rPr>
        <w:t xml:space="preserve">JO A</w:t>
      </w:r>
      <w:r>
        <w:rPr/>
        <w:t xml:space="preserve">N, 23.04.2024, question n° 10580, p. 3200).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llectivites-locales.gouv.fr/files/Institution/Guide%20relatif%20%C3%A0%20la%20d%C3%A9signation%20du%20r%C3%A9f%C3%A9rent%20d%C3%A9ontologue%20de%20l%27%C3%A9lu%20local%20V18-07%20propre%20b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2025-07-27T19:45:01+00:00</dcterms:created>
  <dcterms:modified xsi:type="dcterms:W3CDTF">2025-07-27T19:45:01+00:00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