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Recrutement de deux secrétaires de mairie. NBI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La loi n° 2023-1380 du 30 décembre 2023 visant à revaloriser le métier de secrétaire de mairie a conforté ce principe en posant désormais clairement le caractère unique des fonctions de secrétaire de mairie : un maire ne peut avoir qu'un seul secrétaire de mairie. Telle est la conséquence à déduire de l'article 1</w:t>
      </w:r>
      <w:r>
        <w:rPr>
          <w:vertAlign w:val="superscript"/>
        </w:rPr>
        <w:t xml:space="preserve">er</w:t>
      </w:r>
      <w:r>
        <w:rPr/>
        <w:t xml:space="preserve"> de la loi, qui est d'application immédiate, et qui oblige les maires à nommer un agent chargé des fonctions de secrétaire général de mairie.</w:t>
      </w:r>
    </w:p>
    <w:p>
      <w:pPr/>
      <w:r>
        <w:rPr/>
        <w:t xml:space="preserve">Ainsi, la loi consacre le principe selon lequel plusieurs fonctionnaires du même grade ne peuvent occuper conjointement et à plein temps un emploi de secrétaire de mairie en vertu du respect de l'autorité hiérarchique. Cela n'interdit pas cependant que deux secrétaires de mairie recrutées à temps non complet exercent alternativement la fonction. Dans ce cas, elles perçoivent chacune la NBI attachée à cet emploi, à due concurrence de leur quotité de travail (cf. </w:t>
      </w:r>
      <w:r>
        <w:rPr>
          <w:i w:val="1"/>
          <w:iCs w:val="1"/>
        </w:rPr>
        <w:t xml:space="preserve">JO</w:t>
      </w:r>
      <w:r>
        <w:rPr/>
        <w:t xml:space="preserve"> Sénat, 05.05.2022, </w:t>
      </w:r>
      <w:hyperlink r:id="rId7" w:history="1">
        <w:r>
          <w:rPr/>
          <w:t xml:space="preserve">question n° 27297,</w:t>
        </w:r>
      </w:hyperlink>
      <w:r>
        <w:rPr/>
        <w:t xml:space="preserve"> p. 2563) (</w:t>
      </w:r>
      <w:r>
        <w:rPr>
          <w:i w:val="1"/>
          <w:iCs w:val="1"/>
        </w:rPr>
        <w:t xml:space="preserve">JO </w:t>
      </w:r>
      <w:r>
        <w:rPr/>
        <w:t xml:space="preserve">Sénat, 25.04.2024, question n° 08257, p. 1784).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at.fr/questions/base/2022/qSEQ220327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2025-07-28T00:04:22+00:00</dcterms:created>
  <dcterms:modified xsi:type="dcterms:W3CDTF">2025-07-28T00:04:22+00:00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