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Répartition de l’IFER. Centrales photovoltaïques installées avant le 1er juillet 2023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 Le produit de la composante de l’IFER relative aux centrales de production d’énergie électrique d’origine photovoltaïque est réparti à raison de 50 % pour le bloc communal (</w:t>
      </w:r>
      <w:hyperlink r:id="rId7" w:history="1">
        <w:r>
          <w:rPr/>
          <w:t xml:space="preserve">art. 1379,11°</w:t>
        </w:r>
      </w:hyperlink>
      <w:r>
        <w:rPr/>
        <w:t xml:space="preserve"> du code général des impôts) et 50 % pour le département (</w:t>
      </w:r>
      <w:hyperlink r:id="rId8" w:history="1">
        <w:r>
          <w:rPr/>
          <w:t xml:space="preserve">art. 1586, 3°</w:t>
        </w:r>
      </w:hyperlink>
      <w:r>
        <w:rPr/>
        <w:t xml:space="preserve"> du CGI).</w:t>
      </w:r>
    </w:p>
    <w:p>
      <w:pPr/>
      <w:r>
        <w:rPr>
          <w:b w:val="1"/>
          <w:bCs w:val="1"/>
        </w:rPr>
        <w:t xml:space="preserve">2. </w:t>
      </w:r>
      <w:r>
        <w:rPr/>
        <w:t xml:space="preserve">À l’intérieur du bloc communal, la fraction revenant à la commune varie, le cas échéant, en fonction du régime fiscal de l’EPCI de rattachement.</w:t>
      </w:r>
    </w:p>
    <w:p>
      <w:pPr/>
      <w:r>
        <w:rPr/>
        <w:t xml:space="preserve">Depuis 2023, en présence d’un EPCI à fiscalité professionnelle unique (FPU), la répartition est différente selon la date d’installation des centrales photovoltaïques (</w:t>
      </w:r>
      <w:hyperlink r:id="rId9" w:history="1">
        <w:r>
          <w:rPr/>
          <w:t xml:space="preserve">art. 14</w:t>
        </w:r>
      </w:hyperlink>
      <w:r>
        <w:rPr/>
        <w:t xml:space="preserve"> de la loi n° 2022-1499 de finances rectificative pour 2022).</w:t>
      </w:r>
    </w:p>
    <w:p>
      <w:pPr/>
      <w:r>
        <w:rPr/>
        <w:t xml:space="preserve">Pour les centrales photovoltaïques installées avant le 1</w:t>
      </w:r>
      <w:r>
        <w:rPr>
          <w:vertAlign w:val="superscript"/>
        </w:rPr>
        <w:t xml:space="preserve">er </w:t>
      </w:r>
      <w:r>
        <w:rPr/>
        <w:t xml:space="preserve">janvier 2023, l’EPCI à FPU se substitue de plein droit à ses communes membres en percevant 50 % du produit de l’IFER (</w:t>
      </w:r>
      <w:hyperlink r:id="rId10" w:history="1">
        <w:r>
          <w:rPr/>
          <w:t xml:space="preserve">art. 1609 nonies C</w:t>
        </w:r>
      </w:hyperlink>
      <w:r>
        <w:rPr/>
        <w:t xml:space="preserve">, I </w:t>
      </w:r>
      <w:r>
        <w:rPr>
          <w:i w:val="1"/>
          <w:iCs w:val="1"/>
        </w:rPr>
        <w:t xml:space="preserve">bis</w:t>
      </w:r>
      <w:r>
        <w:rPr/>
        <w:t xml:space="preserve">, </w:t>
      </w:r>
      <w:r>
        <w:rPr>
          <w:i w:val="1"/>
          <w:iCs w:val="1"/>
        </w:rPr>
        <w:t xml:space="preserve">c</w:t>
      </w:r>
      <w:r>
        <w:rPr/>
        <w:t xml:space="preserve">, al. 1 du CGI).</w:t>
      </w:r>
    </w:p>
    <w:p>
      <w:pPr/>
      <w:r>
        <w:rPr/>
        <w:t xml:space="preserve">En revanche, pour les centrales installées à compter du 1</w:t>
      </w:r>
      <w:r>
        <w:rPr>
          <w:vertAlign w:val="superscript"/>
        </w:rPr>
        <w:t xml:space="preserve">er</w:t>
      </w:r>
      <w:r>
        <w:rPr/>
        <w:t xml:space="preserve"> janvier 2023, la répartition est la suivante (art. 1609 </w:t>
      </w:r>
      <w:r>
        <w:rPr>
          <w:i w:val="1"/>
          <w:iCs w:val="1"/>
        </w:rPr>
        <w:t xml:space="preserve">nonies</w:t>
      </w:r>
      <w:r>
        <w:rPr/>
        <w:t xml:space="preserve"> C, I </w:t>
      </w:r>
      <w:r>
        <w:rPr>
          <w:i w:val="1"/>
          <w:iCs w:val="1"/>
        </w:rPr>
        <w:t xml:space="preserve">bis</w:t>
      </w:r>
      <w:r>
        <w:rPr/>
        <w:t xml:space="preserve">, </w:t>
      </w:r>
      <w:r>
        <w:rPr>
          <w:i w:val="1"/>
          <w:iCs w:val="1"/>
        </w:rPr>
        <w:t xml:space="preserve">c</w:t>
      </w:r>
      <w:r>
        <w:rPr/>
        <w:t xml:space="preserve">, al. 2) :</w:t>
      </w:r>
    </w:p>
    <w:p>
      <w:pPr/>
      <w:r>
        <w:rPr/>
        <w:t xml:space="preserve">- 20 % pour la commune membre de l’EPCI à FPU ;</w:t>
      </w:r>
      <w:br/>
      <w:r>
        <w:rPr/>
        <w:t xml:space="preserve"> - 50 % pour l’EPCI à FPU (cette proportion pouvant atteindre jusqu’à 70 % si la commune d’implantation décide, sur délibération, de céder tout ou partie de sa part en faveur de l’EPCI) ;</w:t>
      </w:r>
      <w:br/>
      <w:r>
        <w:rPr/>
        <w:t xml:space="preserve"> - 30 % pour le département (</w:t>
      </w:r>
      <w:r>
        <w:rPr>
          <w:i w:val="1"/>
          <w:iCs w:val="1"/>
        </w:rPr>
        <w:t xml:space="preserve">JO </w:t>
      </w:r>
      <w:r>
        <w:rPr/>
        <w:t xml:space="preserve">Sénat, 22.02.2024, question n° 09238, p. 693).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896077" TargetMode="External"/><Relationship Id="rId8" Type="http://schemas.openxmlformats.org/officeDocument/2006/relationships/hyperlink" Target="https://www.legifrance.gouv.fr/codes/article_lc/LEGIARTI000046897004" TargetMode="External"/><Relationship Id="rId9" Type="http://schemas.openxmlformats.org/officeDocument/2006/relationships/hyperlink" Target="https://www.legifrance.gouv.fr/jorf/article_jo/JORFARTI000046672429" TargetMode="External"/><Relationship Id="rId10" Type="http://schemas.openxmlformats.org/officeDocument/2006/relationships/hyperlink" Target="https://www.legifrance.gouv.fr/codes/article_lc/LEGIARTI000048847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2025-07-27T18:03:06+00:00</dcterms:created>
  <dcterms:modified xsi:type="dcterms:W3CDTF">2025-07-27T18:03:06+00:00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