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Marchés publics. Données essentielles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18 mars 2024 est pris en application des articles R 2196-1, R 2196-4 et D 2396-2-1 du code de la commande publique. Il modifie </w:t>
      </w:r>
      <w:hyperlink r:id="rId7" w:history="1">
        <w:r>
          <w:rPr/>
          <w:t xml:space="preserve">l'arrêté du 22 décembre 2022</w:t>
        </w:r>
      </w:hyperlink>
      <w:r>
        <w:rPr/>
        <w:t xml:space="preserve"> afin de préciser que les données essentielles relatives aux actes de sous-traitance et aux modifications qui se rapportent aux marchés publics notifiés avant le 1</w:t>
      </w:r>
      <w:r>
        <w:rPr>
          <w:vertAlign w:val="superscript"/>
        </w:rPr>
        <w:t xml:space="preserve">er</w:t>
      </w:r>
      <w:r>
        <w:rPr/>
        <w:t xml:space="preserve"> janvier 2024 sont transmises et publiées dans les conditions fixées par cet arrêté.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46850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2025-07-27T14:52:49+00:00</dcterms:created>
  <dcterms:modified xsi:type="dcterms:W3CDTF">2025-07-27T14:52:49+00:00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