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Parcs de stationnement. Dispositif d'ombrage et de gestion des eaux pluviales. Seuil d’exonération</w:t>
      </w:r>
    </w:p>
    <w:p>
      <w:pPr>
        <w:pStyle w:val="Heading2"/>
      </w:pPr>
      <w:r>
        <w:rPr/>
        <w:t xml:space="preserve">Revue - Urbanisme</w:t>
      </w:r>
    </w:p>
    <w:p>
      <w:pPr>
        <w:pStyle w:val="Heading3"/>
      </w:pPr>
      <w:r>
        <w:rPr/>
        <w:t xml:space="preserve">Source - JO</w:t>
      </w:r>
    </w:p>
    <w:p/>
    <w:p>
      <w:pPr/>
      <w:r>
        <w:rPr/>
        <w:t xml:space="preserve">Un arrêté du 5 mars 2024 précise les conditions économiquement acceptables dans lesquelles un dispositif d'ombrage et un dispositif de gestion des eaux pluviales doivent être installés.</w:t>
      </w:r>
    </w:p>
    <w:p>
      <w:pPr/>
      <w:r>
        <w:rPr/>
        <w:t xml:space="preserve">Il définit, pour les parcs construits ou faisant l'objet d'une rénovation lourde, les coûts à prendre en compte dans le calcul du rapport entre le coût total de l'installation du dispositif comprenant les coûts induits par le dépassement de la contrainte technique et le coût total travaux de création ou de rénovation. Pour les parcs existants, faisant l'objet de la conclusion ou d'un renouvellement de contrat ou de bail, ce rapport est calculé en tenant compte de la valeur vénale du parc à l'achat ou à la vente au moment de la demande d'exonération.</w:t>
      </w:r>
    </w:p>
    <w:p>
      <w:pPr/>
      <w:r>
        <w:rPr/>
        <w:t xml:space="preserve">L'arrêté fixe comme non-acceptable économiquement l'installation d'un dispositif d'ombrage ou de gestion des eaux lorsque ce rapport est supérieur à 15 %, pour les parcs construits ou faisant l'objet d'une rénovation lourde. Pour les parcs existants, faisant l'objet de la conclusion ou d'un renouvellement de contrat ou de bail, ce rapport est fixé à 10 %.</w:t>
      </w:r>
    </w:p>
    <w:p>
      <w:pPr/>
      <w:r>
        <w:rPr/>
        <w:t xml:space="preserve">L'arrêté précise les modalités de calcul de la rentabilité de l'installation ainsi que les autorités compétentes pour justifier des calculs.</w:t>
      </w:r>
    </w:p>
    <w:p>
      <w:pPr/>
      <w:r>
        <w:rPr/>
        <w:t xml:space="preserve">Ces dispositions s'appliquent aux parcs de stationnement et aux rénovations lourdes liées à ces parcs entrant dans le champ de </w:t>
      </w:r>
      <w:hyperlink r:id="rId7" w:history="1">
        <w:r>
          <w:rPr/>
          <w:t xml:space="preserve">l'article L 111-19-1</w:t>
        </w:r>
      </w:hyperlink>
      <w:r>
        <w:rPr/>
        <w:t xml:space="preserve"> du code de l'urbanisme, dont les autorisations d'urbanisme sont déposées à compter du 1</w:t>
      </w:r>
      <w:r>
        <w:rPr>
          <w:vertAlign w:val="superscript"/>
        </w:rPr>
        <w:t xml:space="preserve">er</w:t>
      </w:r>
      <w:r>
        <w:rPr/>
        <w:t xml:space="preserve"> janvier 2024, ainsi qu'aux parcs de stationnement faisant l'objet de la conclusion ou d'un renouvellement de contrat de service public, de prestation de service ou de bail commercial à partir du 1</w:t>
      </w:r>
      <w:r>
        <w:rPr>
          <w:vertAlign w:val="superscript"/>
        </w:rPr>
        <w:t xml:space="preserve">er</w:t>
      </w:r>
      <w:r>
        <w:rPr/>
        <w:t xml:space="preserve"> janvier 2024.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3963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2025-07-27T21:38:52+00:00</dcterms:created>
  <dcterms:modified xsi:type="dcterms:W3CDTF">2025-07-27T21:38:52+00:00</dcterms:modified>
</cp:coreProperties>
</file>

<file path=docProps/custom.xml><?xml version="1.0" encoding="utf-8"?>
<Properties xmlns="http://schemas.openxmlformats.org/officeDocument/2006/custom-properties" xmlns:vt="http://schemas.openxmlformats.org/officeDocument/2006/docPropsVTypes"/>
</file>