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Action contentieuse du contribuable au nom de la commune. Préjudice moral. Intérêt matériel insuffisant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>
          <w:b w:val="1"/>
          <w:bCs w:val="1"/>
          <w:i w:val="1"/>
          <w:iCs w:val="1"/>
        </w:rPr>
        <w:t xml:space="preserve">Le Conseil d'État a précisé les conditions dans lesquelles un contribuable peut agir en justice au nom de la commune.</w:t>
      </w:r>
    </w:p>
    <w:p>
      <w:pPr/>
      <w:r>
        <w:rPr>
          <w:b w:val="1"/>
          <w:bCs w:val="1"/>
        </w:rPr>
        <w:t xml:space="preserve">1. </w:t>
      </w:r>
      <w:r>
        <w:rPr/>
        <w:t xml:space="preserve">Tout contribuable inscrit au rôle de la commune a le droit d'exercer, tant en demande qu'en défense, à ses frais et risques, avec l'autorisation du tribunal administratif, les actions qu'il croit appartenir à la commune et que celle-ci, préalablement appelée à en délibérer, a refusé ou négligé d'exercer (</w:t>
      </w:r>
      <w:hyperlink r:id="rId7" w:history="1">
        <w:r>
          <w:rPr/>
          <w:t xml:space="preserve">art. L 2132-5</w:t>
        </w:r>
      </w:hyperlink>
      <w:r>
        <w:rPr/>
        <w:t xml:space="preserve"> du CGCT).</w:t>
      </w:r>
    </w:p>
    <w:p>
      <w:pPr/>
      <w:r>
        <w:rPr/>
        <w:t xml:space="preserve">Il appartient alors au juge de vérifier que l'action envisagée présente un intérêt matériel suffisant pour la commune et qu'elle a une chance de succès.</w:t>
      </w:r>
    </w:p>
    <w:p>
      <w:pPr/>
      <w:r>
        <w:rPr>
          <w:b w:val="1"/>
          <w:bCs w:val="1"/>
        </w:rPr>
        <w:t xml:space="preserve">2.</w:t>
      </w:r>
      <w:r>
        <w:rPr/>
        <w:t xml:space="preserve"> En l'espèce, la perspective de l'indemnisation par le juge pénal d'un éventuel préjudice moral ne saurait, à elle seule, permettre que la plainte que la requérante souhaite se voir autoriser à déposer en lieu et place de la commune soit regardée comme présentant un intérêt matériel suffisant pour cette dernière. La demande a été rejetée (CE, 29 janvier 2024,</w:t>
      </w:r>
      <w:r>
        <w:rPr>
          <w:i w:val="1"/>
          <w:iCs w:val="1"/>
        </w:rPr>
        <w:t xml:space="preserve"> Mme B.</w:t>
      </w:r>
      <w:r>
        <w:rPr/>
        <w:t xml:space="preserve">, n° 475395).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06390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2025-07-27T20:46:01+00:00</dcterms:created>
  <dcterms:modified xsi:type="dcterms:W3CDTF">2025-07-27T20:46:01+00:00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