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Acte administratif obtenu par fraude. Retrait d'une décision de renouvellement d'un contrat. Délai limite de retrait (non)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  <w:i w:val="1"/>
          <w:iCs w:val="1"/>
        </w:rPr>
        <w:t xml:space="preserve">L'obtention d'un acte administratif par fraude ne crée pas de droits, permettant ainsi à l'autorité compétente de le retirer ou de l'abroger, même après l'expiration du délai habituel de retrait.</w:t>
      </w:r>
    </w:p>
    <w:p>
      <w:pPr/>
      <w:r>
        <w:rPr/>
        <w:t xml:space="preserve">Mais il n'existe aucune obligation légale ou réglementaire pour un fonctionnaire de divulguer son statut lorsqu'il postule à un emploi contractuel, et l'omission de le faire ne constitue pas une fraude.</w:t>
      </w:r>
    </w:p>
    <w:p>
      <w:pPr/>
      <w:r>
        <w:rPr/>
        <w:t xml:space="preserve">En l'espèce, un agent en litige avec d'autres collectivités a présenté des incertitudes sur son statut lors de sa candidature, justifiant son absence de mention de son statut de fonctionnaire. En conséquence, la décision de renouvellement de son contrat a été illégalement retirée au-delà du délai prévu par la loi.</w:t>
      </w:r>
    </w:p>
    <w:p>
      <w:pPr/>
      <w:r>
        <w:rPr/>
        <w:t xml:space="preserve">Bien que l'annulation du licenciement implique généralement la réintégration de l'agent, les juges n'ont pas ordonné la réintégration, tenant compte de la fin prévue du contrat à l'issue du renouvellement (CAA Nancy, 16 novembre 2023, </w:t>
      </w:r>
      <w:r>
        <w:rPr>
          <w:i w:val="1"/>
          <w:iCs w:val="1"/>
        </w:rPr>
        <w:t xml:space="preserve">Mme A.</w:t>
      </w:r>
      <w:r>
        <w:rPr/>
        <w:t xml:space="preserve">, n° 20NC03776).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2025-07-28T00:11:23+00:00</dcterms:created>
  <dcterms:modified xsi:type="dcterms:W3CDTF">2025-07-28T00:11:23+00:00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