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Travaux sur construction existante. Notion d’extension. Prise en compte de la superficie</w:t>
      </w:r>
    </w:p>
    <w:p>
      <w:pPr>
        <w:pStyle w:val="Heading2"/>
      </w:pPr>
      <w:r>
        <w:rPr/>
        <w:t xml:space="preserve">Revue - Urbanisme</w:t>
      </w:r>
    </w:p>
    <w:p>
      <w:pPr>
        <w:pStyle w:val="Heading3"/>
      </w:pPr>
      <w:r>
        <w:rPr/>
        <w:t xml:space="preserve">Source - Jurisprudence</w:t>
      </w:r>
    </w:p>
    <w:p/>
    <w:p>
      <w:pPr/>
      <w:r>
        <w:rPr/>
        <w:t xml:space="preserve">Lorsque le règlement d’un plan local d’urbanisme (PLU) ne précise pas, comme il lui est loisible de le faire, si la notion d’extension d’une construction existante, lorsqu’il s’y réfère, comporte une limitation quant aux dimensions d’une telle extension, celle-ci doit, en principe, s'entendre d’un agrandissement de la construction existante présentant, outre un lien physique et fonctionnel avec elle, des dimensions inférieures à celle-ci.</w:t>
      </w:r>
    </w:p>
    <w:p>
      <w:pPr/>
      <w:r>
        <w:rPr/>
        <w:t xml:space="preserve">Le Conseil d’Etat a annulé l’arrêt d’une cour administrative d’appel ayant jugé qu'en l'absence de dispositions du plan local d'urbanisme limitant la surface des extensions susceptibles d'être autorisées dans la commune, la qualité d'extension devait seulement s'apprécier au regard d'un critère de continuité physique et fonctionnelle et de sa complémentarité avec la construction existante, indépendamment de la superficie des travaux projetés par rapport à cette dernière (CE, 9 novembre 2023,</w:t>
      </w:r>
      <w:r>
        <w:rPr>
          <w:i w:val="1"/>
          <w:iCs w:val="1"/>
        </w:rPr>
        <w:t xml:space="preserve"> commune de Meudon</w:t>
      </w:r>
      <w:r>
        <w:rPr/>
        <w:t xml:space="preserve">, n° 469300).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2025-07-28T00:07:01+00:00</dcterms:created>
  <dcterms:modified xsi:type="dcterms:W3CDTF">2025-07-28T00:07:01+00:00</dcterms:modified>
</cp:coreProperties>
</file>

<file path=docProps/custom.xml><?xml version="1.0" encoding="utf-8"?>
<Properties xmlns="http://schemas.openxmlformats.org/officeDocument/2006/custom-properties" xmlns:vt="http://schemas.openxmlformats.org/officeDocument/2006/docPropsVTypes"/>
</file>