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Publicités lumineuses. Contravention en cas d’infraction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2023-1021 du 3 novembre 2023 crée une contravention de 5e classe pour sanctionner la méconnaissance de l'obligation d'extinction des publicités lumineuses en période de pic de consommation électrique prévue par </w:t>
      </w:r>
      <w:hyperlink r:id="rId7" w:history="1">
        <w:r>
          <w:rPr/>
          <w:t xml:space="preserve">l'article L 143-6-2</w:t>
        </w:r>
      </w:hyperlink>
      <w:r>
        <w:rPr/>
        <w:t xml:space="preserve"> du code de l'énergie.</w:t>
      </w:r>
    </w:p>
    <w:p>
      <w:pPr/>
      <w:r>
        <w:rPr/>
        <w:t xml:space="preserve">Il crée également, pour lutter contre la pollution lumineuse, une contravention de 5e classe réprimant le non-respect par les installations lumineuses des prescriptions techniques prévues au I de </w:t>
      </w:r>
      <w:hyperlink r:id="rId8" w:history="1">
        <w:r>
          <w:rPr/>
          <w:t xml:space="preserve">l'article L 583-2</w:t>
        </w:r>
      </w:hyperlink>
      <w:r>
        <w:rPr/>
        <w:t xml:space="preserve"> du code de l'environnement.</w:t>
      </w:r>
    </w:p>
    <w:p>
      <w:pPr/>
      <w:r>
        <w:rPr/>
        <w:t xml:space="preserve">Le décret procède, par ailleurs, à la forfaitisation de ces deux contraventions ainsi qu'à la forfaitisation des contraventions réprimant le non-respect des règles applicables en matière de protection du cadre de vie issues du titre VIII du livre V du code de l'environnement.</w:t>
      </w:r>
    </w:p>
    <w:p>
      <w:pPr/>
      <w:r>
        <w:rPr/>
        <w:t xml:space="preserve">Enfin, il habilite les agents municipaux à verbaliser les infractions à l'obligation d'extinction des publicités lumineuses en période de pic de consommation électrique et aux prescriptions techniques incombant aux installations lumineuses.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6190831" TargetMode="External"/><Relationship Id="rId8" Type="http://schemas.openxmlformats.org/officeDocument/2006/relationships/hyperlink" Target="https://www.legifrance.gouv.fr/codes/article_lc/LEGIARTI000022496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2025-07-27T14:22:30+00:00</dcterms:created>
  <dcterms:modified xsi:type="dcterms:W3CDTF">2025-07-27T14:22:30+00:00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