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Déchets. Transfert de compétence à l'EPCI. Sûreté et commodité du passage dans les voies publiques. Responsabilité du maire</w:t>
      </w:r>
    </w:p>
    <w:p>
      <w:pPr>
        <w:pStyle w:val="Heading2"/>
      </w:pPr>
      <w:r>
        <w:rPr/>
        <w:t xml:space="preserve">Revue - Intercommunalité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/>
        <w:t xml:space="preserve">Le transfert de compétences de la collecte et de la gestion des déchets à un EPCI n’a pas pour effet de priver le maire de sa compétence lorsque des déchets ou des encombrants portent atteinte à la sûreté et à la commodité du passage dans les voies publiques.</w:t>
      </w:r>
    </w:p>
    <w:p>
      <w:pPr/>
      <w:r>
        <w:rPr/>
        <w:t xml:space="preserve">En l’espèce, les trottoirs et abords du rond-point d’entrée des locaux de la société requérante sont régulièrement jonchés de détritus et d’encombrants. Elle réclame à la commune une somme de 141 847 € au titre de pertes de loyers.</w:t>
      </w:r>
    </w:p>
    <w:p>
      <w:pPr/>
      <w:r>
        <w:rPr/>
        <w:t xml:space="preserve">Mais les difficultés dont se plaint la société relèvent de la gestion d’une déchetterie à proximité de son terrain et non, pour l’essentiel, de l’exercice des pouvoirs de police du maire. Ainsi, les préjudices ne peuvent être directement imputés à la carence fautive du maire (CE, 25 mai 2023, </w:t>
      </w:r>
      <w:r>
        <w:rPr>
          <w:i w:val="1"/>
          <w:iCs w:val="1"/>
        </w:rPr>
        <w:t xml:space="preserve">commune d’Avignon</w:t>
      </w:r>
      <w:r>
        <w:rPr/>
        <w:t xml:space="preserve">, n° 454472).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2025-07-27T18:06:02+00:00</dcterms:created>
  <dcterms:modified xsi:type="dcterms:W3CDTF">2025-07-27T18:06:02+00:00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