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d’habitation sur les résidences secondaires et taxe annuelle sur les logements vacants. Actualisation et élargissement du périmètre d'application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b w:val="1"/>
          <w:bCs w:val="1"/>
          <w:i w:val="1"/>
          <w:iCs w:val="1"/>
        </w:rPr>
        <w:t xml:space="preserve">Le décret n° 2023-822 du 25 août 2023 étend à plus de 2 000 communes la possibilité de majorer de 5 % à 60 % la taxe d’habitation sur les résidences secondaires (logements meublés non affectés à l'habitation principale, art. 1407 ter du CGI).</w:t>
      </w:r>
    </w:p>
    <w:p>
      <w:pPr/>
      <w:r>
        <w:rPr>
          <w:b w:val="1"/>
          <w:bCs w:val="1"/>
        </w:rPr>
        <w:t xml:space="preserve">1. </w:t>
      </w:r>
      <w:r>
        <w:rPr/>
        <w:t xml:space="preserve">L'article 73 de la loi n° 2022-1726 du 30 décembre 2022 de finances pour 2023 étend le champ d'application de la majoration de taxe d'habitation sur résidences secondaires (logements meublés non affectés à l'habitation principale, art. 1407</w:t>
      </w:r>
      <w:r>
        <w:rPr>
          <w:i w:val="1"/>
          <w:iCs w:val="1"/>
        </w:rPr>
        <w:t xml:space="preserve"> ter</w:t>
      </w:r>
      <w:r>
        <w:rPr/>
        <w:t xml:space="preserve"> du CGI) et de la taxe annuelle sur les logements vacants (art. 232 du CGI), instituée sur délibération communale, aux communes qui, sans appartenir à une zone d'urbanisation continue de plus de 50 000 habitants, sont confrontées à un déséquilibre marqué entre l'offre et la demande de logements.</w:t>
      </w:r>
    </w:p>
    <w:p>
      <w:pPr/>
      <w:r>
        <w:rPr>
          <w:b w:val="1"/>
          <w:bCs w:val="1"/>
        </w:rPr>
        <w:t xml:space="preserve">2. </w:t>
      </w:r>
      <w:r>
        <w:rPr/>
        <w:t xml:space="preserve">Le décret n° 2023-822 du 25 août 2023 a pour objet, d'une part, d'établir la liste des communes éligibles ainsi définies et, d'autre part, d'actualiser la liste des communes appartenant à une zone d'urbanisation continue de plus de 50 000 habitants où il existe un déséquilibre marqué entre l'offre et la demande de logements, établie par le décret n° 2013-392 du 10 mai 2013 modifié par le décret n° 2015-1284 du 13 octobre 2015.</w:t>
      </w:r>
    </w:p>
    <w:p>
      <w:pPr/>
      <w:r>
        <w:rPr>
          <w:b w:val="1"/>
          <w:bCs w:val="1"/>
        </w:rPr>
        <w:t xml:space="preserve">3. </w:t>
      </w:r>
      <w:r>
        <w:rPr/>
        <w:t xml:space="preserve">Les délibérations sont à prendre avant le 1</w:t>
      </w:r>
      <w:r>
        <w:rPr>
          <w:vertAlign w:val="superscript"/>
        </w:rPr>
        <w:t xml:space="preserve">er</w:t>
      </w:r>
      <w:r>
        <w:rPr/>
        <w:t xml:space="preserve"> octobre.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Délibération portant majoration de la taxe d’habitation sur les résidences secondaires</w:t>
        </w:r>
      </w:hyperlink>
    </w:p>
    <w:p>
      <w:pPr>
        <w:numPr>
          <w:ilvl w:val="0"/>
          <w:numId w:val="4"/>
        </w:numPr>
      </w:pPr>
      <w:hyperlink r:id="rId8" w:history="1">
        <w:r>
          <w:rPr>
            <w:i w:val="1"/>
            <w:iCs w:val="1"/>
          </w:rPr>
          <w:t xml:space="preserve">Délibération instaurant la taxe d'habitation pour les logements vacants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0648D047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mporttypo3.fr/bases-de-donnees-juridiques/la-vie-communale?sharedDocName=majoration-de-la-taxe-dhabitation-sur-les-residences-secondaires&amp;sharedDocUid=49332" TargetMode="External"/><Relationship Id="rId8" Type="http://schemas.openxmlformats.org/officeDocument/2006/relationships/hyperlink" Target="https://www.importtypo3.fr/bases-de-donnees-juridiques/la-vie-communale?sharedDocName=deliberation-instaurant-la-taxe-d%27habitation-pour-les-logements-vacants&amp;sharedDocUid=37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2025-07-27T17:52:54+00:00</dcterms:created>
  <dcterms:modified xsi:type="dcterms:W3CDTF">2025-07-27T17:52:54+00:00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