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Avenant. Transaction. Mesures préalables de publicité et de mise en concurrence (non)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Un avenant ayant le caractère de transaction, il n’a pas à être soumis à des mesures préalables de publicité et de mise en concurrence (CAA Paris, 14 avril 2023, </w:t>
      </w:r>
      <w:r>
        <w:rPr>
          <w:i w:val="1"/>
          <w:iCs w:val="1"/>
        </w:rPr>
        <w:t xml:space="preserve">haut-commissaire de la République en Polynésie française</w:t>
      </w:r>
      <w:r>
        <w:rPr/>
        <w:t xml:space="preserve">, n° 20PA01615).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2025-07-27T20:48:01+00:00</dcterms:created>
  <dcterms:modified xsi:type="dcterms:W3CDTF">2025-07-27T20:48:01+00:00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