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Candidature à un marché public. Erreur de dépôt sur le profil d'acheteur. Rejet de la candidature et de l'offre</w:t>
      </w:r>
    </w:p>
    <w:p>
      <w:pPr>
        <w:pStyle w:val="Heading2"/>
      </w:pPr>
      <w:r>
        <w:rPr/>
        <w:t xml:space="preserve">Revue - Marchés Publics</w:t>
      </w:r>
    </w:p>
    <w:p>
      <w:pPr>
        <w:pStyle w:val="Heading3"/>
      </w:pPr>
      <w:r>
        <w:rPr/>
        <w:t xml:space="preserve">Source - Jurisprudence</w:t>
      </w:r>
    </w:p>
    <w:p/>
    <w:p>
      <w:pPr/>
      <w:r>
        <w:rPr>
          <w:b w:val="1"/>
          <w:bCs w:val="1"/>
        </w:rPr>
        <w:t xml:space="preserve">1. </w:t>
      </w:r>
      <w:r>
        <w:rPr/>
        <w:t xml:space="preserve">En l’espèce, une communauté d’agglomération a engagé une procédure adaptée en vue de l’attribution d’un marché à bons de commande. Une société souhaitant se porter candidate à l’obtention de ce marché a déposé, par erreur, sa candidature et son offre sur le profil d’acheteur de la communauté d’agglomération dans le « tiroir numérique » dédié à un autre marché, dont les dates limites de remise des offres et candidatures étaient identiques. La communauté d’agglomération n’a donc pas pris en compte cette candidature et cette offre pour le marché en litige.</w:t>
      </w:r>
    </w:p>
    <w:p>
      <w:pPr/>
      <w:r>
        <w:rPr>
          <w:b w:val="1"/>
          <w:bCs w:val="1"/>
        </w:rPr>
        <w:t xml:space="preserve">2.</w:t>
      </w:r>
      <w:r>
        <w:rPr/>
        <w:t xml:space="preserve"> D’une part, aucune disposition ni aucun principe n’impose au pouvoir adjudicateur d’informer un candidat que son offre a été déposée dans le cadre d’une autre consultation que celle à laquelle il voulait postuler et, d’autre part, il ne peut rectifier de lui-même l’erreur de dépôt ainsi commise, sauf dans l’hypothèse où il serait établi que cette erreur résulterait d'un dysfonctionnement de la plateforme de l’acheteur public.</w:t>
      </w:r>
    </w:p>
    <w:p>
      <w:pPr/>
      <w:r>
        <w:rPr>
          <w:b w:val="1"/>
          <w:bCs w:val="1"/>
        </w:rPr>
        <w:t xml:space="preserve">3. </w:t>
      </w:r>
      <w:r>
        <w:rPr/>
        <w:t xml:space="preserve">Par suite, la communauté d’agglomération n’a pas manqué à ses obligations de mise en concurrence en ne prenant pas en compte la candidature et l’offre qu’elle a présentées dans un « tiroir numérique » correspondant à un autre marché que celui en litige (CE, 1</w:t>
      </w:r>
      <w:r>
        <w:rPr>
          <w:vertAlign w:val="superscript"/>
        </w:rPr>
        <w:t xml:space="preserve">er</w:t>
      </w:r>
      <w:r>
        <w:rPr/>
        <w:t xml:space="preserve"> juin 2023, </w:t>
      </w:r>
      <w:r>
        <w:rPr>
          <w:i w:val="1"/>
          <w:iCs w:val="1"/>
        </w:rPr>
        <w:t xml:space="preserve">société RVM</w:t>
      </w:r>
      <w:r>
        <w:rPr/>
        <w:t xml:space="preserve">, n° 469127).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2025-07-27T20:36:35+00:00</dcterms:created>
  <dcterms:modified xsi:type="dcterms:W3CDTF">2025-07-27T20:36:35+00:00</dcterms:modified>
</cp:coreProperties>
</file>

<file path=docProps/custom.xml><?xml version="1.0" encoding="utf-8"?>
<Properties xmlns="http://schemas.openxmlformats.org/officeDocument/2006/custom-properties" xmlns:vt="http://schemas.openxmlformats.org/officeDocument/2006/docPropsVTypes"/>
</file>