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Reprise d’une concession en état d’abandon. Faute de la commune. Compétence du juge judiciaire (oui)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La juridiction judiciaire est seule compétente dans le cas d'une demande de condamnation de la commune suite à la dépossession d’une concession funéraire.</w:t>
      </w:r>
    </w:p>
    <w:p>
      <w:pPr/>
      <w:r>
        <w:rPr>
          <w:b w:val="1"/>
          <w:bCs w:val="1"/>
        </w:rPr>
        <w:t xml:space="preserve">1.</w:t>
      </w:r>
      <w:r>
        <w:rPr/>
        <w:t xml:space="preserve"> Dans le cas d'une décision administrative portant atteinte à la propriété privée, le juge administratif est compétent, hormis le cas où une telle décision « aurait pour effet l'extinction du droit de propriété ».</w:t>
      </w:r>
    </w:p>
    <w:p>
      <w:pPr/>
      <w:r>
        <w:rPr>
          <w:b w:val="1"/>
          <w:bCs w:val="1"/>
        </w:rPr>
        <w:t xml:space="preserve">2.</w:t>
      </w:r>
      <w:r>
        <w:rPr/>
        <w:t xml:space="preserve"> En l'espèce, les requérants « tiraient d'une concession funéraire accordée à titre perpétuel un droit réel immobilier qui s’est trouvé éteint par la reprise de cette concession et le transfert dans l’ossuaire communal des restes des personnes qui y étaient inhumées. » Dès lors, « la juridiction judiciaire est seule compétente pour connaître de la demande des intéressés tendant à la condamnation de la commune à réparer les conséquences de cette dépossession dont ils soutiennent qu’elle est irrégulière ».</w:t>
      </w:r>
    </w:p>
    <w:p>
      <w:pPr/>
      <w:r>
        <w:rPr>
          <w:b w:val="1"/>
          <w:bCs w:val="1"/>
        </w:rPr>
        <w:t xml:space="preserve">3.</w:t>
      </w:r>
      <w:r>
        <w:rPr/>
        <w:t xml:space="preserve"> Il appartiendra, le cas échéant, au juge judiciaire de saisir le juge administratif d’une question préjudicielle relative à la légalité des décisions des autorités communales (TC, 17 avril 2023, </w:t>
      </w:r>
      <w:hyperlink r:id="rId7" w:history="1">
        <w:r>
          <w:rPr/>
          <w:t xml:space="preserve">commune de Mont-Louis,</w:t>
        </w:r>
      </w:hyperlink>
      <w:r>
        <w:rPr/>
        <w:t xml:space="preserve"> n° C4268).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ribunal-conflits.fr/PDF/4268_C4268_Notification-anonymise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2025-07-27T13:21:58+00:00</dcterms:created>
  <dcterms:modified xsi:type="dcterms:W3CDTF">2025-07-27T13:21:58+00:00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