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Contrat et délégations de service public (communes - de 3 500 hab.). Conclusion par les élus municipaux exerçant une activité professionnelle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Sous réserve de l'appréciation souveraine du juge, rien ne semble s'opposer à ce qu'une délégation de service public soit assimilée à une opération de fourniture de services au sens du deuxième alinéa de </w:t>
      </w:r>
    </w:p>
    <w:p>
      <w:pPr/>
      <w:hyperlink r:id="rId7" w:history="1">
        <w:r>
          <w:rPr/>
          <w:t xml:space="preserve">l'article 432-12</w:t>
        </w:r>
      </w:hyperlink>
    </w:p>
    <w:p>
      <w:pPr/>
      <w:r>
        <w:rPr/>
        <w:t xml:space="preserve"> du code pénal (dans la limite d'un montant annuel fixé à 16 000 €), même si le législateur a édicté cette disposition en pensant surtout aux petits marchés de services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26.01.2023, question n° 02237, p. 556).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4569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2025-07-27T19:47:40+00:00</dcterms:created>
  <dcterms:modified xsi:type="dcterms:W3CDTF">2025-07-27T19:47:40+00:00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