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 municipal. Pouvoir. Transmission par mail</w:t>
      </w:r>
    </w:p>
    <w:p>
      <w:pPr>
        <w:pStyle w:val="Heading2"/>
      </w:pPr>
      <w:r>
        <w:rPr/>
        <w:t xml:space="preserve">Revue - Vie Communale</w:t>
      </w:r>
    </w:p>
    <w:p>
      <w:pPr>
        <w:pStyle w:val="Heading3"/>
      </w:pPr>
      <w:r>
        <w:rPr/>
        <w:t xml:space="preserve">Source - JO AN - JO Sénat</w:t>
      </w:r>
    </w:p>
    <w:p/>
    <w:p>
      <w:pPr/>
      <w:r>
        <w:rPr>
          <w:b w:val="1"/>
          <w:bCs w:val="1"/>
          <w:i w:val="1"/>
          <w:iCs w:val="1"/>
        </w:rPr>
        <w:t xml:space="preserve">En  l'absence de signature électronique répondant aux exigences posées  par  le règlement (UE) n° 910/2014, un courriel ne saurait constituer un  support écrit valide pour donner un pouvoir. </w:t>
      </w:r>
    </w:p>
    <w:p>
      <w:pPr/>
      <w:r>
        <w:rPr>
          <w:b w:val="1"/>
          <w:bCs w:val="1"/>
        </w:rPr>
        <w:t xml:space="preserve">1. </w:t>
      </w:r>
    </w:p>
    <w:p>
      <w:pPr/>
      <w:r>
        <w:rPr/>
        <w:t xml:space="preserve">L'article L 2121-20 du CGCT dispose qu'«  un conseiller municipal empêché d'assister à une séance peut donner à un  collègue de son choix pouvoir écrit de voter en son nom. Un même  conseiller municipal ne peut être porteur que d'un seul pouvoir. Le  pouvoir est toujours révocable. Sauf cas de maladie dûment constatée, il  ne peut être valable pour plus de trois séances consécutives ». Un  conseiller municipal absent peut donc donner, à tout membre du conseil  de son choix, le pouvoir écrit de voter en son nom (CE, 24 septembre  1990, </w:t>
      </w:r>
    </w:p>
    <w:p>
      <w:pPr/>
      <w:r>
        <w:rPr>
          <w:i w:val="1"/>
          <w:iCs w:val="1"/>
        </w:rPr>
        <w:t xml:space="preserve">élections de Coulanges-sur-Yonne</w:t>
      </w:r>
    </w:p>
    <w:p>
      <w:pPr/>
      <w:r>
        <w:rPr/>
        <w:t xml:space="preserve">, n° 109495). </w:t>
      </w:r>
    </w:p>
    <w:p>
      <w:pPr/>
      <w:r>
        <w:rPr>
          <w:b w:val="1"/>
          <w:bCs w:val="1"/>
        </w:rPr>
        <w:t xml:space="preserve">2.</w:t>
      </w:r>
    </w:p>
    <w:p>
      <w:pPr/>
      <w:r>
        <w:rPr/>
        <w:t xml:space="preserve"> Cette procuration doit obligatoirement  prendre la forme d'un pouvoir écrit comportant la désignation du  mandataire et l'indication de la ou des séances pour lesquelles le  mandat est donné (TA Lille, 9 février 1993, </w:t>
      </w:r>
    </w:p>
    <w:p>
      <w:pPr/>
      <w:hyperlink r:id="rId7" w:history="1">
        <w:r>
          <w:rPr>
            <w:i w:val="1"/>
            <w:iCs w:val="1"/>
          </w:rPr>
          <w:t xml:space="preserve">Barbier c/commune d'Annezin</w:t>
        </w:r>
      </w:hyperlink>
    </w:p>
    <w:p>
      <w:pPr/>
      <w:r>
        <w:rPr/>
        <w:t xml:space="preserve">). Le président de la séance doit pouvoir authentifier avec certitude l'auteur de la procuration (cf. </w:t>
      </w:r>
    </w:p>
    <w:p>
      <w:pPr/>
      <w:r>
        <w:rPr>
          <w:i w:val="1"/>
          <w:iCs w:val="1"/>
        </w:rPr>
        <w:t xml:space="preserve">JO</w:t>
      </w:r>
    </w:p>
    <w:p>
      <w:pPr/>
      <w:r>
        <w:rPr/>
        <w:t xml:space="preserve"> Sénat, 11.10.2012, </w:t>
      </w:r>
    </w:p>
    <w:p>
      <w:pPr/>
      <w:hyperlink r:id="rId8" w:history="1">
        <w:r>
          <w:rPr/>
          <w:t xml:space="preserve">question n° 01540</w:t>
        </w:r>
      </w:hyperlink>
    </w:p>
    <w:p>
      <w:pPr/>
      <w:r>
        <w:rPr/>
        <w:t xml:space="preserve">,  p. 2243). Or, un courriel simple ne permet pas, avec certitude,  d'identifier et d'authentifier l'auteur de la procuration et ne saurait  être un support écrit valide pour donner un pouvoir. Toutefois, </w:t>
      </w:r>
    </w:p>
    <w:p>
      <w:pPr/>
      <w:hyperlink r:id="rId9" w:history="1">
        <w:r>
          <w:rPr/>
          <w:t xml:space="preserve">l'article 1366</w:t>
        </w:r>
      </w:hyperlink>
    </w:p>
    <w:p>
      <w:pPr/>
      <w:r>
        <w:rPr/>
        <w:t xml:space="preserve">  du code civil prévoit que « l'écrit électronique a la même force  probante que l'écrit sur support papier, sous réserve que puisse être  dûment identifiée la personne dont il émane et qu'il soit établi et  conservé dans des conditions de nature à en garantir l'intégrité ».  Ainsi, le mécanisme de la signature électronique permet de garantir  l'intégrité d'un document électronique et d'en authentifier l'auteur. </w:t>
      </w:r>
    </w:p>
    <w:p>
      <w:pPr/>
      <w:hyperlink r:id="rId10" w:history="1">
        <w:r>
          <w:rPr/>
          <w:t xml:space="preserve">L'article 1367</w:t>
        </w:r>
      </w:hyperlink>
    </w:p>
    <w:p>
      <w:pPr/>
      <w:r>
        <w:rPr/>
        <w:t xml:space="preserve">  du même code ajoute que « …[lorsque la signature] est électronique,  elle consiste en l'usage d'un procédé fiable d'identification  garantissant son lien avec l'acte auquel elle s'attache. La fiabilité de  ce procédé est présumée, jusqu'à preuve contraire, lorsque la signature  électronique est créée, l'identité du signataire assurée et l'intégrité  de l'acte garantie, dans des conditions fixées par décret en Conseil  d'Etat ». En l'absence de signature électronique répondant aux  exigences posées par le règlement (UE) n° 910/2014, un écrit  électronique, dont un courriel, ne saurait ni être équivalent à l'écrit  sur support papier ni,</w:t>
      </w:r>
    </w:p>
    <w:p>
      <w:pPr/>
      <w:r>
        <w:rPr>
          <w:i w:val="1"/>
          <w:iCs w:val="1"/>
        </w:rPr>
        <w:t xml:space="preserve"> a fortiori</w:t>
      </w:r>
    </w:p>
    <w:p>
      <w:pPr/>
      <w:r>
        <w:rPr/>
        <w:t xml:space="preserve">, constituer un support écrit valide pour donner un pouvoir (</w:t>
      </w:r>
    </w:p>
    <w:p>
      <w:pPr/>
      <w:r>
        <w:rPr>
          <w:i w:val="1"/>
          <w:iCs w:val="1"/>
        </w:rPr>
        <w:t xml:space="preserve">JO </w:t>
      </w:r>
    </w:p>
    <w:p>
      <w:pPr/>
      <w:r>
        <w:rPr/>
        <w:t xml:space="preserve">AN, 28.03.2023, </w:t>
      </w:r>
    </w:p>
    <w:p>
      <w:pPr/>
      <w:hyperlink r:id="rId11" w:history="1">
        <w:r>
          <w:rPr/>
          <w:t xml:space="preserve">q</w:t>
        </w:r>
      </w:hyperlink>
    </w:p>
    <w:p>
      <w:pPr/>
      <w:r>
        <w:rPr/>
        <w:t xml:space="preserve">uestion n° 3949, p. 2878).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8267261" TargetMode="External"/><Relationship Id="rId8" Type="http://schemas.openxmlformats.org/officeDocument/2006/relationships/hyperlink" Target="https://www.senat.fr/questions/base/2012/qSEQ120801540.html" TargetMode="External"/><Relationship Id="rId9" Type="http://schemas.openxmlformats.org/officeDocument/2006/relationships/hyperlink" Target="https://www.legifrance.gouv.fr/codes/article_lc/LEGIARTI000032042461" TargetMode="External"/><Relationship Id="rId10" Type="http://schemas.openxmlformats.org/officeDocument/2006/relationships/hyperlink" Target="https://www.legifrance.gouv.fr/codes/article_lc/LEGIARTI000032042456/2023-04-13" TargetMode="External"/><Relationship Id="rId11" Type="http://schemas.openxmlformats.org/officeDocument/2006/relationships/hyperlink" Target="https://questions.assemblee-nationale.fr/q16/16-3949Q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2025-07-27T19:20:57+00:00</dcterms:created>
  <dcterms:modified xsi:type="dcterms:W3CDTF">2025-07-27T19:20:57+00:00</dcterms:modified>
</cp:coreProperties>
</file>

<file path=docProps/custom.xml><?xml version="1.0" encoding="utf-8"?>
<Properties xmlns="http://schemas.openxmlformats.org/officeDocument/2006/custom-properties" xmlns:vt="http://schemas.openxmlformats.org/officeDocument/2006/docPropsVTypes"/>
</file>