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1er mai pour les agents de droit public. Fin du jour férié et chômé. Suppression du doublement de la rémunération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hyperlink r:id="rId7" w:history="1">
        <w:r>
          <w:rPr/>
          <w:t xml:space="preserve">L’article 161</w:t>
        </w:r>
      </w:hyperlink>
    </w:p>
    <w:p>
      <w:pPr/>
      <w:r>
        <w:rPr/>
        <w:t xml:space="preserve"> de la loi de finances pour 2023 abroge l’article L 621-9 du code général de la fonction publique qui prévoyait que le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 mai était un jour férié et chômé pour les agents publics, dans les conditions fixées aux articles L 3133-4 et L 3133-6 du code du travail.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jorf/article_jo/JORFARTI0000468458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2025-07-28T01:07:55+00:00</dcterms:created>
  <dcterms:modified xsi:type="dcterms:W3CDTF">2025-07-28T01:07:55+00:00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