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Retour au reversement facultatif aux EPCI</w:t>
      </w:r>
    </w:p>
    <w:p>
      <w:pPr>
        <w:pStyle w:val="Heading2"/>
      </w:pPr>
      <w:r>
        <w:rPr/>
        <w:t xml:space="preserve">Revue - Urbanisme</w:t>
      </w:r>
    </w:p>
    <w:p>
      <w:pPr>
        <w:pStyle w:val="Heading3"/>
      </w:pPr>
      <w:r>
        <w:rPr/>
        <w:t xml:space="preserve">Source - JO</w:t>
      </w:r>
    </w:p>
    <w:p/>
    <w:p>
      <w:pPr/>
      <w:r>
        <w:rPr/>
        <w:t xml:space="preserve"> L'article 15 de la loi n° 2022-1499 du 1</w:t>
      </w:r>
    </w:p>
    <w:p>
      <w:pPr/>
      <w:r>
        <w:rPr>
          <w:vertAlign w:val="superscript"/>
        </w:rPr>
        <w:t xml:space="preserve">er</w:t>
      </w:r>
    </w:p>
    <w:p>
      <w:pPr/>
      <w:r>
        <w:rPr/>
        <w:t xml:space="preserve"> décembre 2022 de finances rectificative pour 2022 rend à nouveau facultatif le reversement de la taxe d'aménagement des communes aux EPCI. La même disposition institue un mécanisme d'annulation des délibérations déjà prises. Les délibérations prévoyant les modalités de reversement, au titre de 2022, de tout ou partie de la taxe perçue par la commune à l'EPCI demeurent applicables tant qu'elles n'ont pas été rapportées ou modifiées par une délibération prise dans un délai de 2 mois à compter de la promulgation de la présente loi.</w:t>
      </w:r>
    </w:p>
    <w:p/>
    <w:p>
      <w:pPr/>
      <w:r>
        <w:rPr/>
        <w:t xml:space="preserve"> La perte de recettes résultant de ce reversement est compensée, à due concurrence, par une majoration de la dotation globale de fonctionnement.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2025-07-27T20:42:19+00:00</dcterms:created>
  <dcterms:modified xsi:type="dcterms:W3CDTF">2025-07-27T20:42:19+00:00</dcterms:modified>
</cp:coreProperties>
</file>

<file path=docProps/custom.xml><?xml version="1.0" encoding="utf-8"?>
<Properties xmlns="http://schemas.openxmlformats.org/officeDocument/2006/custom-properties" xmlns:vt="http://schemas.openxmlformats.org/officeDocument/2006/docPropsVTypes"/>
</file>