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Action en responsabilité. Prescription. Point de départ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Aux termes de l'article 2224 du code civil : « Les actions personnelles ou mobilières se prescrivent par cinq ans à compter du jour où le titulaire d'un droit a connu ou aurait dû connaître les faits lui permettant de l'exercer ». La prescription court à compter de la manifestation du dommage, c'est-à-dire de la date à laquelle la victime a une connaissance suffisamment certaine de l'étendue du dommage, quand bien même le responsable de celui-ci ne serait, à cette date, pas encore déterminé (CE, 10 juin 2022, </w:t>
      </w:r>
    </w:p>
    <w:p>
      <w:pPr/>
      <w:r>
        <w:rPr>
          <w:i w:val="1"/>
          <w:iCs w:val="1"/>
        </w:rPr>
        <w:t xml:space="preserve">commune du Tholonet</w:t>
      </w:r>
    </w:p>
    <w:p>
      <w:pPr/>
      <w:r>
        <w:rPr/>
        <w:t xml:space="preserve">, n° 450675).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2025-07-29T05:04:12+00:00</dcterms:created>
  <dcterms:modified xsi:type="dcterms:W3CDTF">2025-07-29T05:04:12+00:00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