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Locaux tertiaires chauffés ou refroidis. Fermeture des ouvrants. Contrôle du maire</w:t>
      </w:r>
    </w:p>
    <w:p>
      <w:pPr>
        <w:pStyle w:val="Heading2"/>
      </w:pPr>
      <w:r>
        <w:rPr/>
        <w:t xml:space="preserve">Revue - Pouvoirs de police et sécurité</w:t>
      </w:r>
    </w:p>
    <w:p>
      <w:pPr>
        <w:pStyle w:val="Heading3"/>
      </w:pPr>
      <w:r>
        <w:rPr/>
        <w:t xml:space="preserve">Source - JO</w:t>
      </w:r>
    </w:p>
    <w:p/>
    <w:p>
      <w:pPr/>
      <w:r>
        <w:rPr/>
        <w:t xml:space="preserve"> Le décret n° 2022-1295 du 5 octobre 2022 rend obligatoire, sous peine de sanction, la fermeture des ouvrants des locaux chauffés ou refroidis donnant sur l'extérieur ou des locaux non chauffés ou refroidis. Cette disposition s'applique en période de fonctionnement des équipements de chauffage et de refroidissement. Elle prévoit une exemption lorsque l'ouverture est rendue nécessaire par les exigences sanitaires de renouvellement d'air intérieur des locaux. Le contrôle de cette obligation relève de la compétence du maire. L'article R 175-9 du code de la construction et de l'habitation dispose en effet : « En cas d'inobservation des dispositions prévues au II de l'article R 175-7, le maire adresse à l'exploitant du bâtiment ou de la partie de bâtiment une mise en demeure de se conformer aux obligations qui lui incombent en application de la présente section et l'invite à présenter ses observations dans un délai qui ne peut excéder trois semaines. A l'issue de ce délai, s'il constate la persistance du non-respect de ses obligations par l'exploitant, le maire peut prononcer à l'encontre de ce dernier une amende administrative d'un montant maximal de 750 euros.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2025-07-29T00:47:24+00:00</dcterms:created>
  <dcterms:modified xsi:type="dcterms:W3CDTF">2025-07-29T00:47:24+00:00</dcterms:modified>
</cp:coreProperties>
</file>

<file path=docProps/custom.xml><?xml version="1.0" encoding="utf-8"?>
<Properties xmlns="http://schemas.openxmlformats.org/officeDocument/2006/custom-properties" xmlns:vt="http://schemas.openxmlformats.org/officeDocument/2006/docPropsVTypes"/>
</file>