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Eoliennes. Covisibilité avec des monuments historiques. Refus de délivrer un permis de construire</w:t>
      </w:r>
    </w:p>
    <w:p>
      <w:pPr>
        <w:pStyle w:val="Heading2"/>
      </w:pPr>
      <w:r>
        <w:rPr/>
        <w:t xml:space="preserve">Revue - Urbanisme</w:t>
      </w:r>
    </w:p>
    <w:p>
      <w:pPr>
        <w:pStyle w:val="Heading3"/>
      </w:pPr>
      <w:r>
        <w:rPr/>
        <w:t xml:space="preserve">Source - Jurisprudence</w:t>
      </w:r>
    </w:p>
    <w:p/>
    <w:p>
      <w:pPr/>
      <w:r>
        <w:rPr/>
        <w:t xml:space="preserve"> Le critère de covisibilité avec des monuments historiques peut fonder le refus de délivrer un permis de construire pour des éoliennes sur le territoire d'une commune, y compris lorsque l'implantation de ce projet est en dehors du périmètre de leur protection. </w:t>
      </w:r>
    </w:p>
    <w:p>
      <w:pPr/>
      <w:r>
        <w:rPr>
          <w:b w:val="1"/>
          <w:bCs w:val="1"/>
        </w:rPr>
        <w:t xml:space="preserve">1.</w:t>
      </w:r>
    </w:p>
    <w:p>
      <w:pPr/>
      <w:r>
        <w:rPr/>
        <w:t xml:space="preserve"> L'article R 111-27 du code de l'urbanisme, applicable à toutes les communes, prévoit que le projet peut être refusé ou n'être accepté que sous réserve de l'observation de prescriptions spéciales si les constructions, par leur situation, leur architecture, leurs dimensions ou l'aspect extérieur des ouvrages à édifier, sont de nature à porter atteinte au caractère ou à l'intérêt des lieux avoisinants, aux sites, aux paysages naturels ou urbains ainsi qu'à la conservation des perspectives monumentales. </w:t>
      </w:r>
    </w:p>
    <w:p>
      <w:pPr/>
      <w:r>
        <w:rPr>
          <w:b w:val="1"/>
          <w:bCs w:val="1"/>
        </w:rPr>
        <w:t xml:space="preserve">2. </w:t>
      </w:r>
    </w:p>
    <w:p>
      <w:pPr/>
      <w:r>
        <w:rPr/>
        <w:t xml:space="preserve">Pour rechercher l'existence d'une atteinte de nature à fonder le refus de permis de construire ou les prescriptions spéciales accompagnant la délivrance de ce permis, il appartient d'apprécier, dans un premier temps, la qualité du site sur lequel la construction est projetée et d'évaluer, dans un second temps, l'impact que cette construction, compte tenu de sa nature et de ses effets, pourrait avoir sur le site. Les dispositions de cet article excluent qu'il soit procédé, dans le second temps du raisonnement, à une balance d'intérêts divers en présence, autres que ceux mentionnés par cet article et, le cas échéant, par le plan local d'urbanisme de la commune. Pour apprécier aussi bien la qualité du site que l'impact de la construction projetée sur ce site, il appartient à l'autorité administrative, sous le contrôle du juge, de prendre en compte l'ensemble des éléments pertinents et notamment, le cas échéant, la covisibilité du projet avec des bâtiments remarquables, quelle que soit la protection dont ils bénéficient par ailleurs au titre d'autres législations (CE, 22 septembre 2022, </w:t>
      </w:r>
    </w:p>
    <w:p>
      <w:pPr/>
      <w:r>
        <w:rPr>
          <w:i w:val="1"/>
          <w:iCs w:val="1"/>
        </w:rPr>
        <w:t xml:space="preserve">société Ferme éolienne de Seigny</w:t>
      </w:r>
    </w:p>
    <w:p>
      <w:pPr/>
      <w:r>
        <w:rPr/>
        <w:t xml:space="preserve">, n° 455658).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2025-07-27T15:08:08+00:00</dcterms:created>
  <dcterms:modified xsi:type="dcterms:W3CDTF">2025-07-27T15:08:08+00:00</dcterms:modified>
</cp:coreProperties>
</file>

<file path=docProps/custom.xml><?xml version="1.0" encoding="utf-8"?>
<Properties xmlns="http://schemas.openxmlformats.org/officeDocument/2006/custom-properties" xmlns:vt="http://schemas.openxmlformats.org/officeDocument/2006/docPropsVTypes"/>
</file>