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Intérêt pour agir. Appréciation à la date d’affichage du permis. Dérogations en cas de circonstances particulières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Sauf pour le requérant à justifier de circonstances particulières, l'intérêt pour agir contre un permis s'apprécie à la date d'affichage en mairie de la demande du pétitionnaire (art. L 600-1-3 du code de l'urbanisme). Une société devenue propriétaire d'un terrain voisin postérieurement à la délivrance du permis de construire ayant été régulièrement affiché en mairie en demandait l'annulation. La société soutenait notamment que son recours n'avait pour seul but que de mener à bien son propre projet et de préserver ses intérêts, à l'exclusion de toute intention malveillante. Il est jugé que ces circonstances ne sauraient avoir le caractère de circonstances particulières, au sens de l'article L 600-1-3 du code de l'urbanisme. Il en résulte que la demande de la société est irrecevable pour défaut d'intérêt à agir (CE, 13 décembre 2021, </w:t>
      </w:r>
    </w:p>
    <w:p>
      <w:pPr/>
      <w:r>
        <w:rPr>
          <w:i w:val="1"/>
          <w:iCs w:val="1"/>
        </w:rPr>
        <w:t xml:space="preserve">société Ocean's Dream Resort</w:t>
      </w:r>
    </w:p>
    <w:p>
      <w:pPr/>
      <w:r>
        <w:rPr/>
        <w:t xml:space="preserve">, n° 450241).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2025-07-27T16:58:55+00:00</dcterms:created>
  <dcterms:modified xsi:type="dcterms:W3CDTF">2025-07-27T16:58:55+00:00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