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Reconstruction. Calcul de la taxe d’aménagement. Prise en compte de la totalité de la surface de la construction nouvelle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des articles L 331-1, L 331-6 et L 331-10 du code de l'urbanisme que la taxe d'aménagement est assise sur la surface de la construction créée à l'occasion de toute opération de construction, de reconstruction ou d'agrandissement de bâtiments. Doit être regardée comme une reconstruction, une opération comportant la construction de nouveaux bâtiments à la suite de la démolition totale des bâtiments existants. Dans ce cas, la taxe d'aménagement est assise sur la totalité de la surface de la construction nouvelle, sans qu'il y ait lieu d'en déduire la surface supprimée (CE, 25 mars 2021, </w:t>
      </w:r>
    </w:p>
    <w:p>
      <w:pPr/>
      <w:r>
        <w:rPr>
          <w:i w:val="1"/>
          <w:iCs w:val="1"/>
        </w:rPr>
        <w:t xml:space="preserve">SCCV Villa Florence</w:t>
      </w:r>
    </w:p>
    <w:p>
      <w:pPr/>
      <w:r>
        <w:rPr/>
        <w:t xml:space="preserve">, n° 431603).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2025-07-27T16:58:13+00:00</dcterms:created>
  <dcterms:modified xsi:type="dcterms:W3CDTF">2025-07-27T16:58:13+00:00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