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Réalisation de documents d'urbanisme. FCTVA. Eligibilité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/>
        <w:t xml:space="preserve"> La loi n° 2021-953 du 19 juillet 2021 de finances rectificative pour 2021 prévoit de rendre à nouveau éligible au FCTVA les dépenses relatives à la réalisation des documents d'urbanisme. Ainsi, ces dépenses, initialement exclues de la nouvelle assiette automatisée du fonds, continueront de bénéficier des attributions (</w:t>
      </w:r>
    </w:p>
    <w:p>
      <w:pPr/>
      <w:r>
        <w:rPr>
          <w:i w:val="1"/>
          <w:iCs w:val="1"/>
        </w:rPr>
        <w:t xml:space="preserve">JO </w:t>
      </w:r>
    </w:p>
    <w:p>
      <w:pPr/>
      <w:r>
        <w:rPr/>
        <w:t xml:space="preserve">AN, 02.11.2021, question n° 38765, p. 7971).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2025-07-27T17:02:25+00:00</dcterms:created>
  <dcterms:modified xsi:type="dcterms:W3CDTF">2025-07-27T17:02:25+00:00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