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Concessions en état d'abandon. Mise en oeuvre de la procédure. Critères</w:t>
      </w:r>
    </w:p>
    <w:p>
      <w:pPr>
        <w:pStyle w:val="Heading2"/>
      </w:pPr>
      <w:r>
        <w:rPr/>
        <w:t xml:space="preserve">Revue - Etat Civil</w:t>
      </w:r>
    </w:p>
    <w:p>
      <w:pPr>
        <w:pStyle w:val="Heading3"/>
      </w:pPr>
      <w:r>
        <w:rPr/>
        <w:t xml:space="preserve">Source - JO AN - JO Sénat</w:t>
      </w:r>
    </w:p>
    <w:p/>
    <w:p>
      <w:pPr/>
      <w:r>
        <w:rPr/>
        <w:t xml:space="preserve"> La procédure de reprise des concessions en état d'abandon est régie  par les articles L 2223-4, L 2223-17 et L 2223-18, R 2223-12 à R 2223-23  du CGCT. Il s'agit ainsi d'une possibilité dévolue au maire au titre de  l'article L 2223-17 du CGCT : « Lorsque, après une période de trente  ans, une concession a cessé d'être entretenue, le maire peut constater  cet état d'abandon par procès-verbal porté à la connaissance du public  et des familles. Si, 3 ans après cette publicité régulièrement  effectuée, la concession est toujours en état d'abandon, le maire a la  faculté de saisir le conseil municipal, qui est appelé à décider si la  reprise de la concession est prononcée ou non. Dans l'affirmative, le  maire peut prendre un arrêté prononçant la reprise par la commune des  terrains affectés à cette concession. » En l'état actuel du droit, la notion d'abandon d'une concession  funéraire résulte du défaut d'entretien et ne semble pas devoir  impliquer nécessairement l'état de ruine de la sépulture. Cet état se  caractérise néanmoins par des signes extérieurs nuisibles à la décence  du cimetière, c'est-à-dire créateurs avérés ou potentiels de troubles au  bon ordre de celui-ci. Ainsi, le procès-verbal de constat d'abandon «  signé par le maire et par les personnes qui, conformément à l'article R  2223-13, ont assisté à la visite des lieux » « – décrit avec précision  l'état dans lequel [la sépulture] se trouve » (art. R 2223-14 du CGCT). Il ressort de la jurisprudence que le fait que les concessions  offrent une vue déplorable, « délabrée et envahie par les ronces ou  autres plantes parasites » (CE, 24 novembre 1971, </w:t>
      </w:r>
    </w:p>
    <w:p>
      <w:pPr/>
      <w:hyperlink r:id="rId7" w:history="1">
        <w:r>
          <w:rPr/>
          <w:t xml:space="preserve">commune de Bourg-sur-Gironde</w:t>
        </w:r>
      </w:hyperlink>
    </w:p>
    <w:p>
      <w:pPr/>
      <w:r>
        <w:rPr/>
        <w:t xml:space="preserve">,  n° 79385), ou « recouvertes d'herbe ou sur lesquelles poussent des  arbustes sauvages » (CAA Nancy, 3 novembre 1994), est la preuve de leur  abandon. C'est dans ce cadre qu'il convient de rechercher si l'état  d'abandon d'une concession justifie sa reprise, d'une part, et si cet  état reste caractérisé après le délai de 3 ans rappelé à l'article R  2223-18 du code précité, d'autre part. Ainsi, la seule cause  d'interruption de la poursuite de la procédure de reprise tient dans la  réalisation d'un acte d'entretien de la concession funéraire durant  cette période de trois ans. La constatation de l'acte interruptif est alors le point de départ  d'un nouveau délai de 3 ans, à l'expiration duquel la procédure de  reprise peut être recommencée si la concession apparaît de nouveau comme  étant réellement abandonnée. Sous réserve de l'appréciation souveraine  du juge, la visite d'une sépulture et son fleurissement ne constituent  pas à eux seuls des actes d'entretien. Enfin, si la procédure de reprise pour état d'abandon ne peut  intervenir qu'à l'issue d'une période de 30 ans (art. L 2223-17 du  CGCT), et ne peut être enclenchée dans les dix années consécutives à la  dernière inhumation dans ladite concession (art. R 2223-12 du même  code), aucun délai relatif à la date de construction du monument  funéraire n'est en revanche applicable (</w:t>
      </w:r>
    </w:p>
    <w:p>
      <w:pPr/>
      <w:r>
        <w:rPr>
          <w:i w:val="1"/>
          <w:iCs w:val="1"/>
        </w:rPr>
        <w:t xml:space="preserve">JO </w:t>
      </w:r>
    </w:p>
    <w:p>
      <w:pPr/>
      <w:r>
        <w:rPr/>
        <w:t xml:space="preserve">Sénat, 23.09.2021, question n° 23522, p. 5483).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07643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2025-07-29T05:07:01+00:00</dcterms:created>
  <dcterms:modified xsi:type="dcterms:W3CDTF">2025-07-29T05:07:01+00:00</dcterms:modified>
</cp:coreProperties>
</file>

<file path=docProps/custom.xml><?xml version="1.0" encoding="utf-8"?>
<Properties xmlns="http://schemas.openxmlformats.org/officeDocument/2006/custom-properties" xmlns:vt="http://schemas.openxmlformats.org/officeDocument/2006/docPropsVTypes"/>
</file>