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Elections municipales. Contentieux. Distribution de masques. Communication sur l'opération. Faible écart de voix. Altération du scrutin (oui)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En l'espèce, 15 000 masques ont été distribués ; sur les 4 000 notices d'utilisation imprimées, 800 comportaient la photographie de M. D. (candidat). Eu égard au nombre d'électeurs ainsi susceptibles d'avoir reçu des masques associés à l'image de ce candidat, à l'importance que présentait pour la population, à cette période, une distribution de masques et au retentissement favorable qui en a nécessairement découlé sur l'image de M. D., lequel a régulièrement communiqué sur les opérations menées par l'association, cette irrégularité est de nature, compte tenu de l'écart de 161 voix séparant les deux listes arrivées en tête du second tour, à avoir altéré la sincérité du scrutin (CE, 18 août 2021, </w:t>
      </w:r>
    </w:p>
    <w:p>
      <w:pPr/>
      <w:hyperlink r:id="rId7" w:history="1">
        <w:r>
          <w:rPr>
            <w:i w:val="1"/>
            <w:iCs w:val="1"/>
          </w:rPr>
          <w:t xml:space="preserve">commune de Trappes</w:t>
        </w:r>
      </w:hyperlink>
    </w:p>
    <w:p>
      <w:pPr/>
      <w:r>
        <w:rPr/>
        <w:t xml:space="preserve">, n° 449592 ; CE, 18 août 2021, </w:t>
      </w:r>
    </w:p>
    <w:p>
      <w:pPr/>
      <w:hyperlink r:id="rId8" w:history="1">
        <w:r>
          <w:rPr>
            <w:i w:val="1"/>
            <w:iCs w:val="1"/>
          </w:rPr>
          <w:t xml:space="preserve">commune de Trappes</w:t>
        </w:r>
      </w:hyperlink>
    </w:p>
    <w:p>
      <w:pPr/>
      <w:r>
        <w:rPr/>
        <w:t xml:space="preserve">, n° 449593).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eta/id/CETATEXT000043950769" TargetMode="External"/><Relationship Id="rId8" Type="http://schemas.openxmlformats.org/officeDocument/2006/relationships/hyperlink" Target="https://www.legifrance.gouv.fr/ceta/id/CETATEXT000043950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2025-07-28T03:46:58+00:00</dcterms:created>
  <dcterms:modified xsi:type="dcterms:W3CDTF">2025-07-28T03:46:58+00:00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